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839CCA" w14:textId="0A440AE4"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#10</w:t>
      </w:r>
      <w:r w:rsidR="00741EC5">
        <w:rPr>
          <w:noProof w:val="0"/>
          <w:sz w:val="24"/>
          <w:szCs w:val="24"/>
        </w:rPr>
        <w:t>8-e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20</w:t>
      </w:r>
      <w:r w:rsidR="00847322">
        <w:rPr>
          <w:bCs/>
          <w:noProof w:val="0"/>
          <w:sz w:val="24"/>
          <w:szCs w:val="24"/>
        </w:rPr>
        <w:t>3319</w:t>
      </w:r>
    </w:p>
    <w:p w14:paraId="1822B173" w14:textId="158FB25D"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r w:rsidR="00741EC5">
        <w:rPr>
          <w:rFonts w:cs="Arial"/>
          <w:sz w:val="24"/>
          <w:szCs w:val="24"/>
          <w:lang w:val="en-US"/>
        </w:rPr>
        <w:t>1</w:t>
      </w:r>
      <w:r w:rsidR="006604E4" w:rsidRPr="006604E4">
        <w:rPr>
          <w:rFonts w:cs="Arial"/>
          <w:sz w:val="24"/>
          <w:szCs w:val="24"/>
          <w:lang w:val="en-US"/>
        </w:rPr>
        <w:t xml:space="preserve"> – </w:t>
      </w:r>
      <w:r w:rsidR="00741EC5">
        <w:rPr>
          <w:rFonts w:cs="Arial"/>
          <w:sz w:val="24"/>
          <w:szCs w:val="24"/>
          <w:lang w:val="en-US"/>
        </w:rPr>
        <w:t>12</w:t>
      </w:r>
      <w:r w:rsidR="006604E4" w:rsidRPr="006604E4">
        <w:rPr>
          <w:rFonts w:cs="Arial"/>
          <w:sz w:val="24"/>
          <w:szCs w:val="24"/>
          <w:lang w:val="en-US"/>
        </w:rPr>
        <w:t xml:space="preserve"> </w:t>
      </w:r>
      <w:r w:rsidR="00741EC5">
        <w:rPr>
          <w:rFonts w:cs="Arial"/>
          <w:sz w:val="24"/>
          <w:szCs w:val="24"/>
          <w:lang w:val="en-US"/>
        </w:rPr>
        <w:t>June</w:t>
      </w:r>
      <w:r w:rsidR="009C4D5C" w:rsidRPr="00B1063A">
        <w:rPr>
          <w:rFonts w:eastAsia="SimSun"/>
          <w:noProof w:val="0"/>
          <w:sz w:val="24"/>
          <w:szCs w:val="24"/>
          <w:lang w:val="en-US" w:eastAsia="zh-CN"/>
        </w:rPr>
        <w:t>,</w:t>
      </w:r>
      <w:r w:rsidR="005D4274" w:rsidRPr="00B1063A">
        <w:rPr>
          <w:rFonts w:eastAsia="SimSun"/>
          <w:noProof w:val="0"/>
          <w:sz w:val="24"/>
          <w:szCs w:val="24"/>
          <w:lang w:val="en-US" w:eastAsia="zh-CN"/>
        </w:rPr>
        <w:t xml:space="preserve"> </w:t>
      </w:r>
      <w:bookmarkEnd w:id="1"/>
      <w:r w:rsidR="00CD4C7B" w:rsidRPr="00B1063A">
        <w:rPr>
          <w:rFonts w:eastAsia="SimSun"/>
          <w:noProof w:val="0"/>
          <w:sz w:val="24"/>
          <w:szCs w:val="24"/>
          <w:lang w:val="en-US" w:eastAsia="zh-CN"/>
        </w:rPr>
        <w:t>20</w:t>
      </w:r>
      <w:r>
        <w:rPr>
          <w:rFonts w:eastAsia="SimSun"/>
          <w:noProof w:val="0"/>
          <w:sz w:val="24"/>
          <w:szCs w:val="24"/>
          <w:lang w:val="en-US" w:eastAsia="zh-CN"/>
        </w:rPr>
        <w:t>20</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018B1CBF"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5533EA">
        <w:rPr>
          <w:rFonts w:cs="Arial"/>
          <w:b/>
          <w:bCs/>
          <w:sz w:val="24"/>
          <w:lang w:val="en-US" w:eastAsia="ja-JP"/>
        </w:rPr>
        <w:t>10.2.2.1</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211452B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533EA" w:rsidRPr="005533EA">
        <w:rPr>
          <w:rFonts w:ascii="Arial" w:hAnsi="Arial" w:cs="Arial"/>
          <w:b/>
          <w:bCs/>
          <w:sz w:val="24"/>
        </w:rPr>
        <w:t>Remaining open points for MLB</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4860E0D2" w14:textId="1C6CCB5E" w:rsidR="00CD4C7B" w:rsidRDefault="006D5E6A" w:rsidP="00CD4C7B">
      <w:r>
        <w:t xml:space="preserve">We here discuss </w:t>
      </w:r>
      <w:r w:rsidR="00F97C9F">
        <w:t xml:space="preserve">remaining </w:t>
      </w:r>
      <w:r>
        <w:t>open points</w:t>
      </w:r>
      <w:r w:rsidRPr="006D5E6A">
        <w:t xml:space="preserve"> </w:t>
      </w:r>
      <w:r>
        <w:t>for MLB</w:t>
      </w:r>
      <w:r w:rsidR="00F97C9F">
        <w:t xml:space="preserve"> in Rel-16</w:t>
      </w:r>
      <w:r>
        <w:t xml:space="preserve">. </w:t>
      </w:r>
    </w:p>
    <w:p w14:paraId="479DA40B" w14:textId="77777777" w:rsidR="00CD4C7B" w:rsidRPr="006E13D1" w:rsidRDefault="00CD4C7B" w:rsidP="00CD4C7B">
      <w:pPr>
        <w:pStyle w:val="Heading1"/>
      </w:pPr>
      <w:r w:rsidRPr="006E13D1">
        <w:t>2</w:t>
      </w:r>
      <w:r w:rsidRPr="006E13D1">
        <w:tab/>
      </w:r>
      <w:r w:rsidR="00972FD7">
        <w:t>Discussion</w:t>
      </w:r>
    </w:p>
    <w:p w14:paraId="26304F77" w14:textId="4F426C1D" w:rsidR="00B03CB3" w:rsidRDefault="00B03CB3" w:rsidP="00B03CB3">
      <w:pPr>
        <w:pStyle w:val="Heading2"/>
      </w:pPr>
      <w:r>
        <w:t>2.1</w:t>
      </w:r>
      <w:r>
        <w:tab/>
      </w:r>
      <w:r w:rsidR="00285CBD" w:rsidRPr="00285CBD">
        <w:t>TNL Reporting on X2/</w:t>
      </w:r>
      <w:proofErr w:type="spellStart"/>
      <w:r w:rsidR="00285CBD" w:rsidRPr="00285CBD">
        <w:t>Xn</w:t>
      </w:r>
      <w:proofErr w:type="spellEnd"/>
    </w:p>
    <w:p w14:paraId="7970A3E3" w14:textId="77777777" w:rsidR="00B03CB3" w:rsidRDefault="00B03CB3" w:rsidP="00B03CB3">
      <w:pPr>
        <w:pStyle w:val="00BodyText"/>
        <w:spacing w:after="0"/>
        <w:rPr>
          <w:rFonts w:ascii="Times New Roman" w:hAnsi="Times New Roman"/>
          <w:sz w:val="20"/>
          <w:lang w:val="en-GB"/>
        </w:rPr>
      </w:pPr>
    </w:p>
    <w:p w14:paraId="6BC7F285" w14:textId="3602936E" w:rsidR="00285CBD" w:rsidRDefault="00285CBD" w:rsidP="00285CBD">
      <w:pPr>
        <w:pStyle w:val="00BodyText"/>
        <w:spacing w:after="0"/>
        <w:rPr>
          <w:rFonts w:ascii="Times New Roman" w:hAnsi="Times New Roman"/>
          <w:sz w:val="20"/>
          <w:lang w:val="en-GB"/>
        </w:rPr>
      </w:pPr>
      <w:r>
        <w:rPr>
          <w:rFonts w:ascii="Times New Roman" w:hAnsi="Times New Roman"/>
          <w:sz w:val="20"/>
          <w:lang w:val="en-GB"/>
        </w:rPr>
        <w:t>There is existing agreement from last meeting (RA</w:t>
      </w:r>
      <w:r w:rsidR="003C6D82">
        <w:rPr>
          <w:rFonts w:ascii="Times New Roman" w:hAnsi="Times New Roman"/>
          <w:sz w:val="20"/>
          <w:lang w:val="en-GB"/>
        </w:rPr>
        <w:t>N</w:t>
      </w:r>
      <w:r>
        <w:rPr>
          <w:rFonts w:ascii="Times New Roman" w:hAnsi="Times New Roman"/>
          <w:sz w:val="20"/>
          <w:lang w:val="en-GB"/>
        </w:rPr>
        <w:t>3#107bis-e) to provide TNL reports per cell over X2/</w:t>
      </w:r>
      <w:proofErr w:type="spellStart"/>
      <w:r>
        <w:rPr>
          <w:rFonts w:ascii="Times New Roman" w:hAnsi="Times New Roman"/>
          <w:sz w:val="20"/>
          <w:lang w:val="en-GB"/>
        </w:rPr>
        <w:t>Xn</w:t>
      </w:r>
      <w:proofErr w:type="spellEnd"/>
      <w:r>
        <w:rPr>
          <w:rFonts w:ascii="Times New Roman" w:hAnsi="Times New Roman"/>
          <w:sz w:val="20"/>
          <w:lang w:val="en-GB"/>
        </w:rPr>
        <w:t>. However, it is still open whether to report F1-U and S1/NG-U separately</w:t>
      </w:r>
    </w:p>
    <w:p w14:paraId="70AFC4A9" w14:textId="77777777" w:rsidR="00285CBD" w:rsidRDefault="00285CBD" w:rsidP="00285CBD">
      <w:pPr>
        <w:pStyle w:val="00BodyText"/>
        <w:spacing w:after="0"/>
        <w:rPr>
          <w:rFonts w:ascii="Times New Roman" w:hAnsi="Times New Roman"/>
          <w:sz w:val="20"/>
          <w:lang w:val="en-GB"/>
        </w:rPr>
      </w:pPr>
    </w:p>
    <w:p w14:paraId="22187A69" w14:textId="5AB3AA36" w:rsidR="00285CBD" w:rsidRPr="00285CBD" w:rsidRDefault="00285CBD" w:rsidP="00285CBD">
      <w:pPr>
        <w:spacing w:after="0"/>
        <w:rPr>
          <w:rFonts w:ascii="Calibri" w:hAnsi="Calibri" w:cs="Calibri"/>
          <w:b/>
          <w:bCs/>
          <w:color w:val="0070C0"/>
          <w:sz w:val="18"/>
          <w:szCs w:val="18"/>
        </w:rPr>
      </w:pPr>
      <w:r w:rsidRPr="00285CBD">
        <w:rPr>
          <w:rFonts w:ascii="Calibri" w:hAnsi="Calibri" w:cs="Calibri"/>
          <w:b/>
          <w:bCs/>
          <w:color w:val="0070C0"/>
          <w:sz w:val="18"/>
          <w:szCs w:val="18"/>
          <w:highlight w:val="yellow"/>
        </w:rPr>
        <w:t>&lt;&lt; Excerpt from Summary of offline discussion</w:t>
      </w:r>
      <w:r w:rsidR="00F17AF9">
        <w:rPr>
          <w:rFonts w:ascii="Calibri" w:hAnsi="Calibri" w:cs="Calibri"/>
          <w:b/>
          <w:bCs/>
          <w:color w:val="0070C0"/>
          <w:sz w:val="18"/>
          <w:szCs w:val="18"/>
          <w:highlight w:val="yellow"/>
        </w:rPr>
        <w:t xml:space="preserve"> [1]</w:t>
      </w:r>
      <w:r w:rsidRPr="00285CBD">
        <w:rPr>
          <w:rFonts w:ascii="Calibri" w:hAnsi="Calibri" w:cs="Calibri"/>
          <w:b/>
          <w:bCs/>
          <w:color w:val="0070C0"/>
          <w:sz w:val="18"/>
          <w:szCs w:val="18"/>
          <w:highlight w:val="yellow"/>
        </w:rPr>
        <w:t xml:space="preserve"> &gt;&gt;</w:t>
      </w:r>
    </w:p>
    <w:p w14:paraId="201CE118" w14:textId="77777777" w:rsidR="00285CBD" w:rsidRPr="00285CBD" w:rsidRDefault="00285CBD" w:rsidP="00285CBD">
      <w:pPr>
        <w:spacing w:after="0"/>
        <w:rPr>
          <w:rFonts w:ascii="Calibri" w:hAnsi="Calibri" w:cs="Calibri"/>
          <w:i/>
          <w:iCs/>
          <w:sz w:val="18"/>
          <w:szCs w:val="18"/>
          <w:u w:val="single"/>
        </w:rPr>
      </w:pPr>
      <w:r w:rsidRPr="00285CBD">
        <w:rPr>
          <w:rFonts w:ascii="Calibri" w:hAnsi="Calibri" w:cs="Calibri"/>
          <w:i/>
          <w:iCs/>
          <w:sz w:val="18"/>
          <w:szCs w:val="18"/>
          <w:u w:val="single"/>
        </w:rPr>
        <w:t>X2/</w:t>
      </w:r>
      <w:proofErr w:type="spellStart"/>
      <w:r w:rsidRPr="00285CBD">
        <w:rPr>
          <w:rFonts w:ascii="Calibri" w:hAnsi="Calibri" w:cs="Calibri"/>
          <w:i/>
          <w:iCs/>
          <w:sz w:val="18"/>
          <w:szCs w:val="18"/>
          <w:u w:val="single"/>
        </w:rPr>
        <w:t>Xn</w:t>
      </w:r>
      <w:proofErr w:type="spellEnd"/>
      <w:r w:rsidRPr="00285CBD">
        <w:rPr>
          <w:rFonts w:ascii="Calibri" w:hAnsi="Calibri" w:cs="Calibri"/>
          <w:i/>
          <w:iCs/>
          <w:sz w:val="18"/>
          <w:szCs w:val="18"/>
          <w:u w:val="single"/>
        </w:rPr>
        <w:t xml:space="preserve">: Both split and non-split architecture are specified for NG-RAN. Please provide your view on whether to include load TNL load information for both backhaul (S1-U/NG-U) and fronthaul links (F1-U) reported separately (X2, </w:t>
      </w:r>
      <w:proofErr w:type="spellStart"/>
      <w:r w:rsidRPr="00285CBD">
        <w:rPr>
          <w:rFonts w:ascii="Calibri" w:hAnsi="Calibri" w:cs="Calibri"/>
          <w:i/>
          <w:iCs/>
          <w:sz w:val="18"/>
          <w:szCs w:val="18"/>
          <w:u w:val="single"/>
        </w:rPr>
        <w:t>Xn</w:t>
      </w:r>
      <w:proofErr w:type="spellEnd"/>
      <w:r w:rsidRPr="00285CBD">
        <w:rPr>
          <w:rFonts w:ascii="Calibri" w:hAnsi="Calibri" w:cs="Calibri"/>
          <w:i/>
          <w:iCs/>
          <w:sz w:val="18"/>
          <w:szCs w:val="18"/>
          <w:u w:val="single"/>
        </w:rPr>
        <w:t>).</w:t>
      </w:r>
    </w:p>
    <w:p w14:paraId="0EF40C1F" w14:textId="77777777" w:rsidR="00285CBD" w:rsidRPr="00285CBD" w:rsidRDefault="00285CBD" w:rsidP="00285CBD">
      <w:pPr>
        <w:spacing w:after="0"/>
        <w:rPr>
          <w:rFonts w:ascii="Calibri" w:hAnsi="Calibri" w:cs="Calibri"/>
          <w:i/>
          <w:iCs/>
          <w:sz w:val="18"/>
          <w:szCs w:val="18"/>
        </w:rPr>
      </w:pPr>
      <w:r w:rsidRPr="00285CBD">
        <w:rPr>
          <w:rFonts w:ascii="Calibri" w:hAnsi="Calibri" w:cs="Calibri"/>
          <w:i/>
          <w:iCs/>
          <w:sz w:val="18"/>
          <w:szCs w:val="18"/>
        </w:rPr>
        <w:t>No conclusion.</w:t>
      </w:r>
    </w:p>
    <w:p w14:paraId="4381AFCB" w14:textId="77777777" w:rsidR="00285CBD" w:rsidRPr="00285CBD" w:rsidRDefault="00285CBD" w:rsidP="00285CBD">
      <w:pPr>
        <w:spacing w:after="0"/>
        <w:rPr>
          <w:rFonts w:ascii="Calibri" w:hAnsi="Calibri" w:cs="Calibri"/>
          <w:b/>
          <w:bCs/>
          <w:color w:val="0070C0"/>
          <w:sz w:val="18"/>
          <w:szCs w:val="18"/>
        </w:rPr>
      </w:pPr>
      <w:r w:rsidRPr="00285CBD">
        <w:rPr>
          <w:rFonts w:ascii="Calibri" w:hAnsi="Calibri" w:cs="Calibri"/>
          <w:b/>
          <w:bCs/>
          <w:color w:val="0070C0"/>
          <w:sz w:val="18"/>
          <w:szCs w:val="18"/>
          <w:highlight w:val="yellow"/>
        </w:rPr>
        <w:t>&lt;&lt; End of excerpt Summary of offline discussion &gt;&gt;</w:t>
      </w:r>
    </w:p>
    <w:p w14:paraId="6141D0DE" w14:textId="77777777" w:rsidR="00285CBD" w:rsidRDefault="00285CBD" w:rsidP="00285CBD">
      <w:pPr>
        <w:pStyle w:val="00BodyText"/>
        <w:spacing w:after="0"/>
        <w:rPr>
          <w:rFonts w:ascii="Times New Roman" w:hAnsi="Times New Roman"/>
          <w:sz w:val="20"/>
          <w:lang w:val="en-GB"/>
        </w:rPr>
      </w:pPr>
    </w:p>
    <w:p w14:paraId="34F6B17C" w14:textId="77777777" w:rsidR="00285CBD" w:rsidRDefault="00285CBD" w:rsidP="00285CBD">
      <w:pPr>
        <w:pStyle w:val="00BodyText"/>
        <w:spacing w:after="0"/>
        <w:rPr>
          <w:rFonts w:ascii="Times New Roman" w:hAnsi="Times New Roman"/>
          <w:sz w:val="20"/>
          <w:lang w:val="en-GB"/>
        </w:rPr>
      </w:pPr>
      <w:r>
        <w:rPr>
          <w:rFonts w:ascii="Times New Roman" w:hAnsi="Times New Roman"/>
          <w:sz w:val="20"/>
          <w:lang w:val="en-GB"/>
        </w:rPr>
        <w:t>During the discussion, there was suggestion that only one value should be provided to the peer node via X2/</w:t>
      </w:r>
      <w:proofErr w:type="spellStart"/>
      <w:r>
        <w:rPr>
          <w:rFonts w:ascii="Times New Roman" w:hAnsi="Times New Roman"/>
          <w:sz w:val="20"/>
          <w:lang w:val="en-GB"/>
        </w:rPr>
        <w:t>Xn</w:t>
      </w:r>
      <w:proofErr w:type="spellEnd"/>
      <w:r>
        <w:rPr>
          <w:rFonts w:ascii="Times New Roman" w:hAnsi="Times New Roman"/>
          <w:sz w:val="20"/>
          <w:lang w:val="en-GB"/>
        </w:rPr>
        <w:t xml:space="preserve"> interfaces, and that it should refer to the lowest capacity available in either the fronthaul (F1) or the backhaul (S1/NG) for a given report. There was also comment that this would avoid exposing the gNB architecture to the peer node.</w:t>
      </w:r>
    </w:p>
    <w:p w14:paraId="7703BDE8" w14:textId="77777777" w:rsidR="00285CBD" w:rsidRDefault="00285CBD" w:rsidP="00285CBD">
      <w:pPr>
        <w:pStyle w:val="00BodyText"/>
        <w:spacing w:after="0"/>
        <w:rPr>
          <w:rFonts w:ascii="Times New Roman" w:hAnsi="Times New Roman"/>
          <w:sz w:val="20"/>
          <w:lang w:val="en-GB"/>
        </w:rPr>
      </w:pPr>
    </w:p>
    <w:p w14:paraId="659961A5" w14:textId="77777777" w:rsidR="00285CBD" w:rsidRDefault="00285CBD" w:rsidP="00285CBD">
      <w:pPr>
        <w:pStyle w:val="00BodyText"/>
        <w:spacing w:after="0"/>
        <w:rPr>
          <w:rFonts w:ascii="Times New Roman" w:hAnsi="Times New Roman"/>
          <w:sz w:val="20"/>
          <w:lang w:val="en-GB"/>
        </w:rPr>
      </w:pPr>
      <w:r>
        <w:rPr>
          <w:rFonts w:ascii="Times New Roman" w:hAnsi="Times New Roman"/>
          <w:sz w:val="20"/>
          <w:lang w:val="en-GB"/>
        </w:rPr>
        <w:t xml:space="preserve">In our view, providing only the value with lowest capacity is misleading and could quickly result in overloading or underloading certain cells given the sudden change in value reported to the peer node (e.g., source gNB or MN). </w:t>
      </w:r>
    </w:p>
    <w:p w14:paraId="4843D43A" w14:textId="77777777" w:rsidR="00285CBD" w:rsidRDefault="00285CBD" w:rsidP="00285CBD">
      <w:pPr>
        <w:pStyle w:val="00BodyText"/>
        <w:spacing w:after="0"/>
        <w:rPr>
          <w:rFonts w:ascii="Times New Roman" w:hAnsi="Times New Roman"/>
          <w:sz w:val="20"/>
          <w:lang w:val="en-GB"/>
        </w:rPr>
      </w:pPr>
    </w:p>
    <w:p w14:paraId="6D319460" w14:textId="77777777" w:rsidR="00285CBD" w:rsidRDefault="00285CBD" w:rsidP="00285CBD">
      <w:pPr>
        <w:pStyle w:val="00BodyText"/>
        <w:spacing w:after="0"/>
        <w:rPr>
          <w:rFonts w:ascii="Times New Roman" w:hAnsi="Times New Roman"/>
          <w:sz w:val="20"/>
          <w:lang w:val="en-GB"/>
        </w:rPr>
      </w:pPr>
      <w:r>
        <w:rPr>
          <w:rFonts w:ascii="Times New Roman" w:hAnsi="Times New Roman"/>
          <w:sz w:val="20"/>
          <w:lang w:val="en-GB"/>
        </w:rPr>
        <w:t>Taking a gNB with disaggregated architecture as example:</w:t>
      </w:r>
    </w:p>
    <w:p w14:paraId="221628E1" w14:textId="77777777" w:rsidR="00285CBD" w:rsidRDefault="00285CBD" w:rsidP="00285CBD">
      <w:pPr>
        <w:pStyle w:val="00BodyText"/>
        <w:numPr>
          <w:ilvl w:val="0"/>
          <w:numId w:val="5"/>
        </w:numPr>
        <w:spacing w:after="0"/>
        <w:rPr>
          <w:rFonts w:ascii="Times New Roman" w:hAnsi="Times New Roman"/>
          <w:sz w:val="20"/>
          <w:lang w:val="en-GB"/>
        </w:rPr>
      </w:pPr>
      <w:r>
        <w:rPr>
          <w:rFonts w:ascii="Times New Roman" w:hAnsi="Times New Roman"/>
          <w:sz w:val="20"/>
          <w:lang w:val="en-GB"/>
        </w:rPr>
        <w:t>CU-UP1 (referring to NG-U)</w:t>
      </w:r>
    </w:p>
    <w:p w14:paraId="472AF8E9" w14:textId="77777777" w:rsidR="00285CBD" w:rsidRDefault="00285CBD" w:rsidP="00285CBD">
      <w:pPr>
        <w:pStyle w:val="00BodyText"/>
        <w:numPr>
          <w:ilvl w:val="1"/>
          <w:numId w:val="5"/>
        </w:numPr>
        <w:spacing w:after="0"/>
        <w:rPr>
          <w:rFonts w:ascii="Times New Roman" w:hAnsi="Times New Roman"/>
          <w:sz w:val="20"/>
          <w:lang w:val="en-GB"/>
        </w:rPr>
      </w:pPr>
      <w:r>
        <w:rPr>
          <w:rFonts w:ascii="Times New Roman" w:hAnsi="Times New Roman"/>
          <w:sz w:val="20"/>
          <w:lang w:val="en-GB"/>
        </w:rPr>
        <w:t xml:space="preserve">TNL Maximum Offered Capacity (equal to variable X) </w:t>
      </w:r>
    </w:p>
    <w:p w14:paraId="569BCCD3" w14:textId="77777777" w:rsidR="00285CBD" w:rsidRDefault="00285CBD" w:rsidP="00285CBD">
      <w:pPr>
        <w:pStyle w:val="00BodyText"/>
        <w:numPr>
          <w:ilvl w:val="1"/>
          <w:numId w:val="5"/>
        </w:numPr>
        <w:spacing w:after="0"/>
        <w:rPr>
          <w:rFonts w:ascii="Times New Roman" w:hAnsi="Times New Roman"/>
          <w:sz w:val="20"/>
          <w:lang w:val="en-GB"/>
        </w:rPr>
      </w:pPr>
      <w:r>
        <w:rPr>
          <w:rFonts w:ascii="Times New Roman" w:hAnsi="Times New Roman"/>
          <w:sz w:val="20"/>
          <w:lang w:val="en-GB"/>
        </w:rPr>
        <w:t>TNL Available Capacity 10% capacity (Y equal to variable X * 0.1)</w:t>
      </w:r>
    </w:p>
    <w:p w14:paraId="320D8DC0" w14:textId="77777777" w:rsidR="00285CBD" w:rsidRDefault="00285CBD" w:rsidP="00285CBD">
      <w:pPr>
        <w:pStyle w:val="00BodyText"/>
        <w:numPr>
          <w:ilvl w:val="0"/>
          <w:numId w:val="5"/>
        </w:numPr>
        <w:spacing w:after="0"/>
        <w:rPr>
          <w:rFonts w:ascii="Times New Roman" w:hAnsi="Times New Roman"/>
          <w:sz w:val="20"/>
          <w:lang w:val="en-GB"/>
        </w:rPr>
      </w:pPr>
      <w:r>
        <w:rPr>
          <w:rFonts w:ascii="Times New Roman" w:hAnsi="Times New Roman"/>
          <w:sz w:val="20"/>
          <w:lang w:val="en-GB"/>
        </w:rPr>
        <w:t>DU1 (referring to F1-U)</w:t>
      </w:r>
    </w:p>
    <w:p w14:paraId="4D03C316" w14:textId="77777777" w:rsidR="00285CBD" w:rsidRDefault="00285CBD" w:rsidP="00285CBD">
      <w:pPr>
        <w:pStyle w:val="00BodyText"/>
        <w:numPr>
          <w:ilvl w:val="1"/>
          <w:numId w:val="5"/>
        </w:numPr>
        <w:spacing w:after="0"/>
        <w:rPr>
          <w:rFonts w:ascii="Times New Roman" w:hAnsi="Times New Roman"/>
          <w:sz w:val="20"/>
          <w:lang w:val="en-GB"/>
        </w:rPr>
      </w:pPr>
      <w:r>
        <w:rPr>
          <w:rFonts w:ascii="Times New Roman" w:hAnsi="Times New Roman"/>
          <w:sz w:val="20"/>
          <w:lang w:val="en-GB"/>
        </w:rPr>
        <w:t xml:space="preserve">TNL Maximum Offered Capacity (equal to variable W) </w:t>
      </w:r>
    </w:p>
    <w:p w14:paraId="245FEFA5" w14:textId="77777777" w:rsidR="00285CBD" w:rsidRDefault="00285CBD" w:rsidP="00285CBD">
      <w:pPr>
        <w:pStyle w:val="00BodyText"/>
        <w:numPr>
          <w:ilvl w:val="1"/>
          <w:numId w:val="5"/>
        </w:numPr>
        <w:spacing w:after="0"/>
        <w:rPr>
          <w:rFonts w:ascii="Times New Roman" w:hAnsi="Times New Roman"/>
          <w:sz w:val="20"/>
          <w:lang w:val="en-GB"/>
        </w:rPr>
      </w:pPr>
      <w:r>
        <w:rPr>
          <w:rFonts w:ascii="Times New Roman" w:hAnsi="Times New Roman"/>
          <w:sz w:val="20"/>
          <w:lang w:val="en-GB"/>
        </w:rPr>
        <w:t>TNL Available Capacity 50% capacity (Z equal to variable W * 0.5)</w:t>
      </w:r>
    </w:p>
    <w:p w14:paraId="0F795FD1" w14:textId="77777777" w:rsidR="00285CBD" w:rsidRDefault="00285CBD" w:rsidP="00285CBD">
      <w:pPr>
        <w:pStyle w:val="00BodyText"/>
        <w:spacing w:after="0"/>
        <w:rPr>
          <w:rFonts w:ascii="Times New Roman" w:hAnsi="Times New Roman"/>
          <w:sz w:val="20"/>
          <w:lang w:val="en-GB"/>
        </w:rPr>
      </w:pPr>
    </w:p>
    <w:p w14:paraId="3E5D845B" w14:textId="77777777" w:rsidR="00285CBD" w:rsidRDefault="00285CBD" w:rsidP="00285CBD">
      <w:pPr>
        <w:pStyle w:val="00BodyText"/>
        <w:spacing w:after="0"/>
        <w:rPr>
          <w:rFonts w:ascii="Times New Roman" w:hAnsi="Times New Roman"/>
          <w:sz w:val="20"/>
          <w:lang w:val="en-GB"/>
        </w:rPr>
      </w:pPr>
      <w:r>
        <w:rPr>
          <w:rFonts w:ascii="Times New Roman" w:hAnsi="Times New Roman"/>
          <w:sz w:val="20"/>
          <w:lang w:val="en-GB"/>
        </w:rPr>
        <w:t>Variable X and W can be significantly different, even if Y and Z at some periods may have relatively close values. Hence, the problem of switching the value per cell to include the values which represent the lowest available capacity at the gNB will cause sudden extreme changes in values reported to the peer node, given the TNL Maximum Offered Capacity (NG-U) is very different and likely much larger than the TNL Maximum Offered Capacity (F1-U). This can negatively affect the neighbour node as it will appear to it as if the target cell experiences high increases in capacity, which would incorrectly make it a target for directing many UEs, even though  the change was only a side effect of swapping the meaning of TNL load reported per cell rather than on actual capacity having changed. Thus, it is not appropriate to switch back and forth the actual meaning of the TNL report per cell over X2/</w:t>
      </w:r>
      <w:proofErr w:type="spellStart"/>
      <w:r>
        <w:rPr>
          <w:rFonts w:ascii="Times New Roman" w:hAnsi="Times New Roman"/>
          <w:sz w:val="20"/>
          <w:lang w:val="en-GB"/>
        </w:rPr>
        <w:t>Xn</w:t>
      </w:r>
      <w:proofErr w:type="spellEnd"/>
      <w:r>
        <w:rPr>
          <w:rFonts w:ascii="Times New Roman" w:hAnsi="Times New Roman"/>
          <w:sz w:val="20"/>
          <w:lang w:val="en-GB"/>
        </w:rPr>
        <w:t>.</w:t>
      </w:r>
    </w:p>
    <w:p w14:paraId="24AB7013" w14:textId="77777777" w:rsidR="00285CBD" w:rsidRDefault="00285CBD" w:rsidP="00285CBD">
      <w:pPr>
        <w:pStyle w:val="00BodyText"/>
        <w:spacing w:after="0"/>
        <w:rPr>
          <w:rFonts w:ascii="Times New Roman" w:hAnsi="Times New Roman"/>
          <w:sz w:val="20"/>
          <w:lang w:val="en-GB"/>
        </w:rPr>
      </w:pPr>
    </w:p>
    <w:p w14:paraId="5FF75AA6" w14:textId="77777777" w:rsidR="00285CBD" w:rsidRPr="00DA0143" w:rsidRDefault="00285CBD" w:rsidP="00285CBD">
      <w:pPr>
        <w:pStyle w:val="00BodyText"/>
        <w:spacing w:after="0"/>
        <w:rPr>
          <w:rFonts w:ascii="Times New Roman" w:hAnsi="Times New Roman"/>
          <w:b/>
          <w:bCs/>
          <w:sz w:val="20"/>
          <w:lang w:val="en-GB"/>
        </w:rPr>
      </w:pPr>
      <w:r w:rsidRPr="00DA0143">
        <w:rPr>
          <w:rFonts w:ascii="Times New Roman" w:hAnsi="Times New Roman"/>
          <w:b/>
          <w:bCs/>
          <w:sz w:val="20"/>
          <w:lang w:val="en-GB"/>
        </w:rPr>
        <w:t>Observation: It is not appropriate to switch back and forth the actual meaning (backhaul vs. fronthaul) of the TNL report per cell over X2/</w:t>
      </w:r>
      <w:proofErr w:type="spellStart"/>
      <w:r w:rsidRPr="00DA0143">
        <w:rPr>
          <w:rFonts w:ascii="Times New Roman" w:hAnsi="Times New Roman"/>
          <w:b/>
          <w:bCs/>
          <w:sz w:val="20"/>
          <w:lang w:val="en-GB"/>
        </w:rPr>
        <w:t>Xn</w:t>
      </w:r>
      <w:proofErr w:type="spellEnd"/>
      <w:r w:rsidRPr="00DA0143">
        <w:rPr>
          <w:rFonts w:ascii="Times New Roman" w:hAnsi="Times New Roman"/>
          <w:b/>
          <w:bCs/>
          <w:sz w:val="20"/>
          <w:lang w:val="en-GB"/>
        </w:rPr>
        <w:t>.</w:t>
      </w:r>
    </w:p>
    <w:p w14:paraId="2F5D72AA" w14:textId="77777777" w:rsidR="00285CBD" w:rsidRDefault="00285CBD" w:rsidP="00285CBD">
      <w:pPr>
        <w:pStyle w:val="00BodyText"/>
        <w:spacing w:after="0"/>
        <w:rPr>
          <w:rFonts w:ascii="Times New Roman" w:hAnsi="Times New Roman"/>
          <w:sz w:val="20"/>
          <w:lang w:val="en-GB"/>
        </w:rPr>
      </w:pPr>
    </w:p>
    <w:p w14:paraId="2F04ADDD" w14:textId="77777777" w:rsidR="00285CBD" w:rsidRDefault="00285CBD" w:rsidP="00285CBD">
      <w:pPr>
        <w:pStyle w:val="00BodyText"/>
        <w:spacing w:after="0"/>
        <w:rPr>
          <w:rFonts w:ascii="Times New Roman" w:hAnsi="Times New Roman"/>
          <w:sz w:val="20"/>
          <w:lang w:val="en-GB"/>
        </w:rPr>
      </w:pPr>
      <w:r>
        <w:rPr>
          <w:rFonts w:ascii="Times New Roman" w:hAnsi="Times New Roman"/>
          <w:sz w:val="20"/>
          <w:lang w:val="en-GB"/>
        </w:rPr>
        <w:t>However, to address the concern from some companies regarding exposing the intra-gNB interfaces, an alternative approach is to additionally report the TNL per node over X2/</w:t>
      </w:r>
      <w:proofErr w:type="spellStart"/>
      <w:r>
        <w:rPr>
          <w:rFonts w:ascii="Times New Roman" w:hAnsi="Times New Roman"/>
          <w:sz w:val="20"/>
          <w:lang w:val="en-GB"/>
        </w:rPr>
        <w:t>Xn</w:t>
      </w:r>
      <w:proofErr w:type="spellEnd"/>
      <w:r>
        <w:rPr>
          <w:rFonts w:ascii="Times New Roman" w:hAnsi="Times New Roman"/>
          <w:sz w:val="20"/>
          <w:lang w:val="en-GB"/>
        </w:rPr>
        <w:t xml:space="preserve"> and </w:t>
      </w:r>
      <w:r>
        <w:rPr>
          <w:rFonts w:ascii="Times New Roman" w:hAnsi="Times New Roman"/>
          <w:sz w:val="20"/>
          <w:u w:val="single"/>
          <w:lang w:val="en-GB"/>
        </w:rPr>
        <w:t>not</w:t>
      </w:r>
      <w:r>
        <w:rPr>
          <w:rFonts w:ascii="Times New Roman" w:hAnsi="Times New Roman"/>
          <w:sz w:val="20"/>
          <w:lang w:val="en-GB"/>
        </w:rPr>
        <w:t xml:space="preserve"> swap the actual meaning of TNL report per cell.</w:t>
      </w:r>
    </w:p>
    <w:p w14:paraId="618EC369" w14:textId="77777777" w:rsidR="00285CBD" w:rsidRDefault="00285CBD" w:rsidP="00285CBD">
      <w:pPr>
        <w:pStyle w:val="00BodyText"/>
        <w:spacing w:after="0"/>
        <w:rPr>
          <w:rFonts w:ascii="Times New Roman" w:hAnsi="Times New Roman"/>
          <w:sz w:val="20"/>
          <w:lang w:val="en-GB"/>
        </w:rPr>
      </w:pPr>
    </w:p>
    <w:p w14:paraId="3CEB81F7" w14:textId="77777777" w:rsidR="00285CBD" w:rsidRDefault="00285CBD" w:rsidP="00285CBD">
      <w:pPr>
        <w:pStyle w:val="00BodyText"/>
        <w:spacing w:after="0"/>
        <w:rPr>
          <w:rFonts w:ascii="Times New Roman" w:hAnsi="Times New Roman"/>
          <w:sz w:val="20"/>
          <w:lang w:val="en-GB"/>
        </w:rPr>
      </w:pPr>
      <w:r>
        <w:rPr>
          <w:rFonts w:ascii="Times New Roman" w:hAnsi="Times New Roman"/>
          <w:sz w:val="20"/>
          <w:lang w:val="en-GB"/>
        </w:rPr>
        <w:t xml:space="preserve">In this way, the neighbour node will be aware of whether the gNB </w:t>
      </w:r>
      <w:proofErr w:type="gramStart"/>
      <w:r>
        <w:rPr>
          <w:rFonts w:ascii="Times New Roman" w:hAnsi="Times New Roman"/>
          <w:sz w:val="20"/>
          <w:lang w:val="en-GB"/>
        </w:rPr>
        <w:t>as a whole is</w:t>
      </w:r>
      <w:proofErr w:type="gramEnd"/>
      <w:r>
        <w:rPr>
          <w:rFonts w:ascii="Times New Roman" w:hAnsi="Times New Roman"/>
          <w:sz w:val="20"/>
          <w:lang w:val="en-GB"/>
        </w:rPr>
        <w:t xml:space="preserve"> experiencing an issue as well as its entire transport capability in addition the reports on a per cell basis, which was already agreed. This information granularity will help the neighbour node to take a more appropriate load balancing decision.</w:t>
      </w:r>
    </w:p>
    <w:p w14:paraId="31E5AD02" w14:textId="77777777" w:rsidR="00285CBD" w:rsidRDefault="00285CBD" w:rsidP="00285CBD">
      <w:pPr>
        <w:pStyle w:val="00BodyText"/>
        <w:spacing w:after="0"/>
        <w:rPr>
          <w:rFonts w:ascii="Times New Roman" w:hAnsi="Times New Roman"/>
          <w:sz w:val="20"/>
          <w:lang w:val="en-GB"/>
        </w:rPr>
      </w:pPr>
    </w:p>
    <w:p w14:paraId="532AFC1E" w14:textId="2A7BE222" w:rsidR="00285CBD" w:rsidRPr="00A57EC3" w:rsidRDefault="00285CBD" w:rsidP="00285CBD">
      <w:pPr>
        <w:rPr>
          <w:b/>
          <w:iCs/>
        </w:rPr>
      </w:pPr>
      <w:r w:rsidRPr="00A57EC3">
        <w:rPr>
          <w:b/>
          <w:iCs/>
        </w:rPr>
        <w:t xml:space="preserve">Proposal </w:t>
      </w:r>
      <w:r w:rsidR="00A56822">
        <w:rPr>
          <w:b/>
          <w:iCs/>
        </w:rPr>
        <w:t>1</w:t>
      </w:r>
      <w:r w:rsidRPr="00A57EC3">
        <w:rPr>
          <w:b/>
          <w:iCs/>
        </w:rPr>
        <w:t xml:space="preserve">: </w:t>
      </w:r>
      <w:r>
        <w:rPr>
          <w:b/>
          <w:iCs/>
        </w:rPr>
        <w:t xml:space="preserve">Introduce </w:t>
      </w:r>
      <w:r w:rsidRPr="00A57EC3">
        <w:rPr>
          <w:b/>
          <w:iCs/>
        </w:rPr>
        <w:t xml:space="preserve">TNL </w:t>
      </w:r>
      <w:r>
        <w:rPr>
          <w:b/>
          <w:iCs/>
        </w:rPr>
        <w:t xml:space="preserve">Capacity Indicator per node over </w:t>
      </w:r>
      <w:r w:rsidRPr="00A57EC3">
        <w:rPr>
          <w:b/>
          <w:iCs/>
        </w:rPr>
        <w:t>X2/</w:t>
      </w:r>
      <w:proofErr w:type="spellStart"/>
      <w:r w:rsidRPr="00A57EC3">
        <w:rPr>
          <w:b/>
          <w:iCs/>
        </w:rPr>
        <w:t>Xn</w:t>
      </w:r>
      <w:proofErr w:type="spellEnd"/>
      <w:r w:rsidRPr="00A57EC3">
        <w:rPr>
          <w:b/>
          <w:iCs/>
        </w:rPr>
        <w:t>.</w:t>
      </w:r>
    </w:p>
    <w:p w14:paraId="12CD3BC1" w14:textId="77777777" w:rsidR="00285CBD" w:rsidRDefault="00285CBD" w:rsidP="00285CBD">
      <w:pPr>
        <w:pStyle w:val="00BodyText"/>
        <w:spacing w:after="0"/>
        <w:rPr>
          <w:rFonts w:ascii="Times New Roman" w:hAnsi="Times New Roman"/>
          <w:sz w:val="20"/>
          <w:lang w:val="en-GB"/>
        </w:rPr>
      </w:pPr>
      <w:r>
        <w:rPr>
          <w:rFonts w:ascii="Times New Roman" w:hAnsi="Times New Roman"/>
          <w:sz w:val="20"/>
          <w:lang w:val="en-GB"/>
        </w:rPr>
        <w:t xml:space="preserve">Similarly, given that a gNB may host </w:t>
      </w:r>
      <w:proofErr w:type="gramStart"/>
      <w:r>
        <w:rPr>
          <w:rFonts w:ascii="Times New Roman" w:hAnsi="Times New Roman"/>
          <w:sz w:val="20"/>
          <w:lang w:val="en-GB"/>
        </w:rPr>
        <w:t>a large number of</w:t>
      </w:r>
      <w:proofErr w:type="gramEnd"/>
      <w:r>
        <w:rPr>
          <w:rFonts w:ascii="Times New Roman" w:hAnsi="Times New Roman"/>
          <w:sz w:val="20"/>
          <w:lang w:val="en-GB"/>
        </w:rPr>
        <w:t xml:space="preserve"> cells, not all of the hosted cells may be meaningful to be reported to the neighbouring node. Therefore, it is proposed that the gNB-CU reports only the TNL available capacity corresponding to cells that are relevant for an external entity based on implementation. </w:t>
      </w:r>
      <w:r w:rsidRPr="005222A1">
        <w:rPr>
          <w:rFonts w:ascii="Times New Roman" w:hAnsi="Times New Roman"/>
          <w:sz w:val="20"/>
          <w:lang w:val="en-GB"/>
        </w:rPr>
        <w:t xml:space="preserve">Whether or not a cell is a relevant to a </w:t>
      </w:r>
      <w:r>
        <w:rPr>
          <w:rFonts w:ascii="Times New Roman" w:hAnsi="Times New Roman"/>
          <w:sz w:val="20"/>
          <w:lang w:val="en-GB"/>
        </w:rPr>
        <w:t xml:space="preserve">neighbouring node could be determined on whether there is overlapping coverage, and the selection based e.g., on the Automatic Neighbour Relation (ANR) table at the gNB-CU for the selection of cells to report.   </w:t>
      </w:r>
    </w:p>
    <w:p w14:paraId="667A181A" w14:textId="77777777" w:rsidR="00285CBD" w:rsidRDefault="00285CBD" w:rsidP="00285CBD">
      <w:pPr>
        <w:rPr>
          <w:b/>
          <w:iCs/>
        </w:rPr>
      </w:pPr>
    </w:p>
    <w:p w14:paraId="74FB981A" w14:textId="056AB61A" w:rsidR="00285CBD" w:rsidRDefault="00285CBD" w:rsidP="00285CBD">
      <w:r w:rsidRPr="00A57EC3">
        <w:rPr>
          <w:b/>
          <w:iCs/>
        </w:rPr>
        <w:t xml:space="preserve">Proposal </w:t>
      </w:r>
      <w:r w:rsidR="00A56822">
        <w:rPr>
          <w:b/>
          <w:iCs/>
        </w:rPr>
        <w:t>2</w:t>
      </w:r>
      <w:r w:rsidRPr="00A57EC3">
        <w:rPr>
          <w:b/>
          <w:iCs/>
        </w:rPr>
        <w:t xml:space="preserve">: </w:t>
      </w:r>
      <w:r>
        <w:rPr>
          <w:b/>
          <w:iCs/>
        </w:rPr>
        <w:t>The gNB-CU may report only the TNL Available Capacity corresponding to cells that are relevant for an external entity based on implementation to minimize unnecessary reports to the neighbour nodes (e.g., via utilizing the ANR Table information at gNB-CU).</w:t>
      </w:r>
      <w:r>
        <w:t xml:space="preserve"> </w:t>
      </w:r>
    </w:p>
    <w:p w14:paraId="7307048B" w14:textId="77777777" w:rsidR="00285CBD" w:rsidRDefault="00285CBD" w:rsidP="00285CBD">
      <w:pPr>
        <w:pStyle w:val="00BodyText"/>
        <w:spacing w:after="0"/>
        <w:rPr>
          <w:rFonts w:ascii="Times New Roman" w:hAnsi="Times New Roman"/>
          <w:sz w:val="20"/>
          <w:lang w:val="en-GB"/>
        </w:rPr>
      </w:pPr>
    </w:p>
    <w:p w14:paraId="7603D0E9" w14:textId="218CEA3B" w:rsidR="00285CBD" w:rsidRPr="00250FAD" w:rsidRDefault="003C6D82" w:rsidP="003C6D82">
      <w:pPr>
        <w:pStyle w:val="Heading2"/>
      </w:pPr>
      <w:r>
        <w:t>2.2</w:t>
      </w:r>
      <w:r>
        <w:tab/>
      </w:r>
      <w:r w:rsidR="00285CBD" w:rsidRPr="00250FAD">
        <w:t xml:space="preserve">TNL Reporting on </w:t>
      </w:r>
      <w:r w:rsidR="00285CBD">
        <w:t>E1</w:t>
      </w:r>
    </w:p>
    <w:p w14:paraId="3FA0C272" w14:textId="2D833E8E" w:rsidR="00285CBD" w:rsidRDefault="00285CBD" w:rsidP="00285CBD">
      <w:pPr>
        <w:pStyle w:val="00BodyText"/>
        <w:spacing w:after="0"/>
        <w:rPr>
          <w:rFonts w:ascii="Times New Roman" w:hAnsi="Times New Roman"/>
          <w:sz w:val="20"/>
          <w:lang w:val="en-GB"/>
        </w:rPr>
      </w:pPr>
      <w:r>
        <w:rPr>
          <w:rFonts w:ascii="Times New Roman" w:hAnsi="Times New Roman"/>
          <w:sz w:val="20"/>
          <w:lang w:val="en-GB"/>
        </w:rPr>
        <w:t>There is existing agreeme</w:t>
      </w:r>
      <w:bookmarkStart w:id="2" w:name="_GoBack"/>
      <w:bookmarkEnd w:id="2"/>
      <w:r>
        <w:rPr>
          <w:rFonts w:ascii="Times New Roman" w:hAnsi="Times New Roman"/>
          <w:sz w:val="20"/>
          <w:lang w:val="en-GB"/>
        </w:rPr>
        <w:t>nt from last meeting (RA</w:t>
      </w:r>
      <w:r w:rsidR="00D6638A">
        <w:rPr>
          <w:rFonts w:ascii="Times New Roman" w:hAnsi="Times New Roman"/>
          <w:sz w:val="20"/>
          <w:lang w:val="en-GB"/>
        </w:rPr>
        <w:t>N</w:t>
      </w:r>
      <w:r>
        <w:rPr>
          <w:rFonts w:ascii="Times New Roman" w:hAnsi="Times New Roman"/>
          <w:sz w:val="20"/>
          <w:lang w:val="en-GB"/>
        </w:rPr>
        <w:t xml:space="preserve">3#107bis-e) to provide TNL reports per node over E1. However, it is still open whether to report </w:t>
      </w:r>
      <w:r w:rsidR="006F040E" w:rsidRPr="006F040E">
        <w:rPr>
          <w:rFonts w:ascii="Times New Roman" w:hAnsi="Times New Roman"/>
          <w:sz w:val="20"/>
          <w:lang w:val="en-GB"/>
        </w:rPr>
        <w:t>the gNB-CU-UP TNL Available Capacity per slice</w:t>
      </w:r>
      <w:r w:rsidR="006F040E">
        <w:rPr>
          <w:rFonts w:ascii="Times New Roman" w:hAnsi="Times New Roman"/>
          <w:sz w:val="20"/>
          <w:lang w:val="en-GB"/>
        </w:rPr>
        <w:t>.</w:t>
      </w:r>
    </w:p>
    <w:p w14:paraId="15505BFE" w14:textId="77777777" w:rsidR="00285CBD" w:rsidRDefault="00285CBD" w:rsidP="00285CBD">
      <w:pPr>
        <w:pStyle w:val="00BodyText"/>
        <w:spacing w:after="0"/>
        <w:rPr>
          <w:rFonts w:ascii="Times New Roman" w:hAnsi="Times New Roman"/>
          <w:sz w:val="20"/>
          <w:lang w:val="en-GB"/>
        </w:rPr>
      </w:pPr>
    </w:p>
    <w:p w14:paraId="46E5EB2D" w14:textId="6FA0BA79" w:rsidR="00285CBD" w:rsidRPr="00285CBD" w:rsidRDefault="00285CBD" w:rsidP="00285CBD">
      <w:pPr>
        <w:spacing w:after="0"/>
        <w:rPr>
          <w:rFonts w:ascii="Calibri" w:hAnsi="Calibri" w:cs="Calibri"/>
          <w:b/>
          <w:bCs/>
          <w:color w:val="0070C0"/>
          <w:sz w:val="18"/>
          <w:szCs w:val="18"/>
        </w:rPr>
      </w:pPr>
      <w:r w:rsidRPr="00285CBD">
        <w:rPr>
          <w:rFonts w:ascii="Calibri" w:hAnsi="Calibri" w:cs="Calibri"/>
          <w:b/>
          <w:bCs/>
          <w:color w:val="0070C0"/>
          <w:sz w:val="18"/>
          <w:szCs w:val="18"/>
          <w:highlight w:val="yellow"/>
        </w:rPr>
        <w:t>&lt;&lt; Excerpt Summary of offline discussion</w:t>
      </w:r>
      <w:r w:rsidR="00F17AF9">
        <w:rPr>
          <w:rFonts w:ascii="Calibri" w:hAnsi="Calibri" w:cs="Calibri"/>
          <w:b/>
          <w:bCs/>
          <w:color w:val="0070C0"/>
          <w:sz w:val="18"/>
          <w:szCs w:val="18"/>
          <w:highlight w:val="yellow"/>
        </w:rPr>
        <w:t xml:space="preserve"> [1]</w:t>
      </w:r>
      <w:r w:rsidRPr="00285CBD">
        <w:rPr>
          <w:rFonts w:ascii="Calibri" w:hAnsi="Calibri" w:cs="Calibri"/>
          <w:b/>
          <w:bCs/>
          <w:color w:val="0070C0"/>
          <w:sz w:val="18"/>
          <w:szCs w:val="18"/>
          <w:highlight w:val="yellow"/>
        </w:rPr>
        <w:t xml:space="preserve"> &gt;&gt;</w:t>
      </w:r>
    </w:p>
    <w:p w14:paraId="7D7BF742" w14:textId="77777777" w:rsidR="00285CBD" w:rsidRPr="00285CBD" w:rsidRDefault="00285CBD" w:rsidP="00285CBD">
      <w:pPr>
        <w:spacing w:after="0"/>
        <w:rPr>
          <w:rFonts w:ascii="Calibri" w:hAnsi="Calibri" w:cs="Calibri"/>
          <w:i/>
          <w:iCs/>
          <w:sz w:val="18"/>
          <w:szCs w:val="18"/>
          <w:u w:val="single"/>
        </w:rPr>
      </w:pPr>
      <w:r w:rsidRPr="00285CBD">
        <w:rPr>
          <w:rFonts w:ascii="Calibri" w:hAnsi="Calibri" w:cs="Calibri"/>
          <w:i/>
          <w:iCs/>
          <w:sz w:val="18"/>
          <w:szCs w:val="18"/>
          <w:u w:val="single"/>
        </w:rPr>
        <w:t>E1AP: FFS whether to provide measurements (TNL Available Capacity Indicator, HW Capacity Indicator) per slice.</w:t>
      </w:r>
    </w:p>
    <w:p w14:paraId="17C99DFC" w14:textId="77777777" w:rsidR="00285CBD" w:rsidRPr="00285CBD" w:rsidRDefault="00285CBD" w:rsidP="00285CBD">
      <w:pPr>
        <w:spacing w:after="0"/>
        <w:rPr>
          <w:rFonts w:ascii="Calibri" w:hAnsi="Calibri" w:cs="Calibri"/>
          <w:i/>
          <w:iCs/>
          <w:sz w:val="18"/>
          <w:szCs w:val="18"/>
        </w:rPr>
      </w:pPr>
      <w:r w:rsidRPr="00285CBD">
        <w:rPr>
          <w:rFonts w:ascii="Calibri" w:hAnsi="Calibri" w:cs="Calibri"/>
          <w:i/>
          <w:iCs/>
          <w:sz w:val="18"/>
          <w:szCs w:val="18"/>
        </w:rPr>
        <w:t>No conclusion</w:t>
      </w:r>
    </w:p>
    <w:p w14:paraId="2CBE7B87" w14:textId="77777777" w:rsidR="00285CBD" w:rsidRPr="00285CBD" w:rsidRDefault="00285CBD" w:rsidP="00285CBD">
      <w:pPr>
        <w:spacing w:after="0"/>
        <w:rPr>
          <w:rFonts w:ascii="Calibri" w:hAnsi="Calibri" w:cs="Calibri"/>
          <w:i/>
          <w:iCs/>
          <w:sz w:val="18"/>
          <w:szCs w:val="18"/>
        </w:rPr>
      </w:pPr>
    </w:p>
    <w:p w14:paraId="2295BF9D" w14:textId="77777777" w:rsidR="00285CBD" w:rsidRPr="00285CBD" w:rsidRDefault="00285CBD" w:rsidP="00285CBD">
      <w:pPr>
        <w:spacing w:after="0"/>
        <w:rPr>
          <w:rFonts w:ascii="Calibri" w:hAnsi="Calibri" w:cs="Calibri"/>
          <w:i/>
          <w:iCs/>
          <w:sz w:val="18"/>
          <w:szCs w:val="18"/>
          <w:u w:val="single"/>
        </w:rPr>
      </w:pPr>
      <w:r w:rsidRPr="00285CBD">
        <w:rPr>
          <w:rFonts w:ascii="Calibri" w:hAnsi="Calibri" w:cs="Calibri"/>
          <w:i/>
          <w:iCs/>
          <w:sz w:val="18"/>
          <w:szCs w:val="18"/>
          <w:u w:val="single"/>
        </w:rPr>
        <w:t>Additional metric to be reported per slice</w:t>
      </w:r>
    </w:p>
    <w:p w14:paraId="65E4AE25" w14:textId="77777777" w:rsidR="00285CBD" w:rsidRPr="00285CBD" w:rsidRDefault="00285CBD" w:rsidP="00285CBD">
      <w:pPr>
        <w:spacing w:after="0"/>
        <w:rPr>
          <w:rFonts w:ascii="Calibri" w:hAnsi="Calibri" w:cs="Calibri"/>
          <w:i/>
          <w:iCs/>
          <w:sz w:val="18"/>
          <w:szCs w:val="18"/>
        </w:rPr>
      </w:pPr>
      <w:r w:rsidRPr="00285CBD">
        <w:rPr>
          <w:rFonts w:ascii="Calibri" w:hAnsi="Calibri" w:cs="Calibri"/>
          <w:i/>
          <w:iCs/>
          <w:sz w:val="18"/>
          <w:szCs w:val="18"/>
        </w:rPr>
        <w:t>Several companies see benefits for enhancements, other companies believe this can be continued in Rel-17.</w:t>
      </w:r>
    </w:p>
    <w:p w14:paraId="10F99F8E" w14:textId="77777777" w:rsidR="00285CBD" w:rsidRPr="00285CBD" w:rsidRDefault="00285CBD" w:rsidP="00285CBD">
      <w:pPr>
        <w:spacing w:after="0"/>
        <w:rPr>
          <w:rFonts w:ascii="Calibri" w:hAnsi="Calibri" w:cs="Calibri"/>
          <w:i/>
          <w:iCs/>
          <w:sz w:val="18"/>
          <w:szCs w:val="18"/>
        </w:rPr>
      </w:pPr>
      <w:r w:rsidRPr="00285CBD">
        <w:rPr>
          <w:rFonts w:ascii="Calibri" w:hAnsi="Calibri" w:cs="Calibri"/>
          <w:i/>
          <w:iCs/>
          <w:sz w:val="18"/>
          <w:szCs w:val="18"/>
        </w:rPr>
        <w:t>To be continued based on contribution.</w:t>
      </w:r>
    </w:p>
    <w:p w14:paraId="536AC375" w14:textId="77777777" w:rsidR="00285CBD" w:rsidRPr="00285CBD" w:rsidRDefault="00285CBD" w:rsidP="00285CBD">
      <w:pPr>
        <w:spacing w:after="0"/>
        <w:rPr>
          <w:rFonts w:ascii="Calibri" w:hAnsi="Calibri" w:cs="Calibri"/>
          <w:b/>
          <w:bCs/>
          <w:color w:val="0070C0"/>
          <w:sz w:val="18"/>
          <w:szCs w:val="18"/>
        </w:rPr>
      </w:pPr>
      <w:r w:rsidRPr="00285CBD">
        <w:rPr>
          <w:rFonts w:ascii="Calibri" w:hAnsi="Calibri" w:cs="Calibri"/>
          <w:b/>
          <w:bCs/>
          <w:color w:val="0070C0"/>
          <w:sz w:val="18"/>
          <w:szCs w:val="18"/>
          <w:highlight w:val="yellow"/>
        </w:rPr>
        <w:t>&lt;&lt; End of excerpt Summary of offline discussion &gt;&gt;</w:t>
      </w:r>
    </w:p>
    <w:p w14:paraId="41D9342C" w14:textId="77777777" w:rsidR="00285CBD" w:rsidRDefault="00285CBD" w:rsidP="00285CBD">
      <w:pPr>
        <w:pStyle w:val="00BodyText"/>
        <w:spacing w:after="0"/>
        <w:rPr>
          <w:rFonts w:ascii="Times New Roman" w:hAnsi="Times New Roman"/>
          <w:sz w:val="20"/>
          <w:lang w:val="en-GB"/>
        </w:rPr>
      </w:pPr>
    </w:p>
    <w:p w14:paraId="30660083" w14:textId="77777777" w:rsidR="00285CBD" w:rsidRDefault="00285CBD" w:rsidP="00285CBD">
      <w:pPr>
        <w:pStyle w:val="00BodyText"/>
        <w:spacing w:after="0"/>
        <w:rPr>
          <w:rFonts w:ascii="Times New Roman" w:hAnsi="Times New Roman"/>
          <w:sz w:val="20"/>
          <w:lang w:val="en-GB"/>
        </w:rPr>
      </w:pPr>
      <w:r w:rsidRPr="002105AF">
        <w:rPr>
          <w:rFonts w:ascii="Times New Roman" w:hAnsi="Times New Roman"/>
          <w:sz w:val="20"/>
          <w:lang w:val="en-GB"/>
        </w:rPr>
        <w:t>Reporting per slice</w:t>
      </w:r>
      <w:r>
        <w:rPr>
          <w:rFonts w:ascii="Times New Roman" w:hAnsi="Times New Roman"/>
          <w:sz w:val="20"/>
          <w:lang w:val="en-GB"/>
        </w:rPr>
        <w:t xml:space="preserve"> (</w:t>
      </w:r>
      <w:r w:rsidRPr="002105AF">
        <w:rPr>
          <w:rFonts w:ascii="Times New Roman" w:hAnsi="Times New Roman"/>
          <w:sz w:val="20"/>
          <w:lang w:val="en-GB"/>
        </w:rPr>
        <w:t>TNL Available Capacity Indicator</w:t>
      </w:r>
      <w:r>
        <w:rPr>
          <w:rFonts w:ascii="Times New Roman" w:hAnsi="Times New Roman"/>
          <w:sz w:val="20"/>
          <w:lang w:val="en-GB"/>
        </w:rPr>
        <w:t>)</w:t>
      </w:r>
      <w:r w:rsidRPr="002105AF">
        <w:rPr>
          <w:rFonts w:ascii="Times New Roman" w:hAnsi="Times New Roman"/>
          <w:sz w:val="20"/>
          <w:lang w:val="en-GB"/>
        </w:rPr>
        <w:t xml:space="preserve"> </w:t>
      </w:r>
      <w:r>
        <w:rPr>
          <w:rFonts w:ascii="Times New Roman" w:hAnsi="Times New Roman"/>
          <w:sz w:val="20"/>
          <w:lang w:val="en-GB"/>
        </w:rPr>
        <w:t>is currently FFS in the E1AP BL CR. However, for anticipation of access control, it is crucial for the CU-CP to receive this load information per slice, given that TNL resources at a CU-UP may be dedicated to specific slices. Likewise, there will be services/slices requiring GBR. Hence, this discrimination is needed at CU-CP to take an appropriate action when establishing a bearer context and ensure the required capacity also from TNL perspective will be available.</w:t>
      </w:r>
    </w:p>
    <w:p w14:paraId="542E7C54" w14:textId="77777777" w:rsidR="00285CBD" w:rsidRDefault="00285CBD" w:rsidP="00285CBD">
      <w:pPr>
        <w:pStyle w:val="00BodyText"/>
        <w:spacing w:after="0"/>
        <w:rPr>
          <w:rFonts w:ascii="Times New Roman" w:hAnsi="Times New Roman"/>
          <w:sz w:val="20"/>
          <w:lang w:val="en-GB"/>
        </w:rPr>
      </w:pPr>
    </w:p>
    <w:p w14:paraId="16647B15" w14:textId="02AC6CBE" w:rsidR="00285CBD" w:rsidRPr="002105AF" w:rsidRDefault="00285CBD" w:rsidP="00285CBD">
      <w:pPr>
        <w:pStyle w:val="00BodyText"/>
        <w:spacing w:after="0"/>
        <w:rPr>
          <w:rFonts w:ascii="Times New Roman" w:hAnsi="Times New Roman"/>
          <w:b/>
          <w:bCs/>
          <w:sz w:val="20"/>
          <w:lang w:val="en-GB"/>
        </w:rPr>
      </w:pPr>
      <w:r w:rsidRPr="002105AF">
        <w:rPr>
          <w:rFonts w:ascii="Times New Roman" w:hAnsi="Times New Roman"/>
          <w:b/>
          <w:bCs/>
          <w:sz w:val="20"/>
          <w:lang w:val="en-GB"/>
        </w:rPr>
        <w:t xml:space="preserve">Proposal </w:t>
      </w:r>
      <w:r w:rsidR="00033AEF">
        <w:rPr>
          <w:rFonts w:ascii="Times New Roman" w:hAnsi="Times New Roman"/>
          <w:b/>
          <w:bCs/>
          <w:sz w:val="20"/>
          <w:lang w:val="en-GB"/>
        </w:rPr>
        <w:t>3</w:t>
      </w:r>
      <w:r w:rsidRPr="002105AF">
        <w:rPr>
          <w:rFonts w:ascii="Times New Roman" w:hAnsi="Times New Roman"/>
          <w:b/>
          <w:bCs/>
          <w:sz w:val="20"/>
          <w:lang w:val="en-GB"/>
        </w:rPr>
        <w:t>: Confirm reporting per slice in the E1AP CR (remove FFSs).</w:t>
      </w:r>
    </w:p>
    <w:p w14:paraId="3482EE44" w14:textId="77777777" w:rsidR="00CE2286" w:rsidRDefault="00CE2286" w:rsidP="00B03CB3">
      <w:pPr>
        <w:pStyle w:val="00BodyText"/>
        <w:spacing w:after="0"/>
        <w:rPr>
          <w:rFonts w:ascii="Times New Roman" w:hAnsi="Times New Roman"/>
          <w:sz w:val="20"/>
          <w:lang w:val="en-GB"/>
        </w:rPr>
      </w:pPr>
    </w:p>
    <w:p w14:paraId="38BEB88B" w14:textId="5F83EDF2" w:rsidR="00435395" w:rsidRDefault="00435395" w:rsidP="00435395">
      <w:pPr>
        <w:pStyle w:val="Heading2"/>
      </w:pPr>
      <w:r>
        <w:t>2.4</w:t>
      </w:r>
      <w:r>
        <w:tab/>
      </w:r>
      <w:r w:rsidR="00D57C8C" w:rsidRPr="00D57C8C">
        <w:t xml:space="preserve">Further </w:t>
      </w:r>
      <w:r w:rsidR="001C05CC">
        <w:t>information</w:t>
      </w:r>
      <w:r w:rsidR="00D57C8C" w:rsidRPr="00D57C8C">
        <w:t xml:space="preserve"> reported per slice</w:t>
      </w:r>
    </w:p>
    <w:p w14:paraId="7FBF4169" w14:textId="04D0537A" w:rsidR="00D57C8C" w:rsidRDefault="001C05CC" w:rsidP="00D57C8C">
      <w:pPr>
        <w:pStyle w:val="00BodyText"/>
        <w:spacing w:after="0"/>
        <w:rPr>
          <w:rFonts w:ascii="Times New Roman" w:hAnsi="Times New Roman"/>
          <w:sz w:val="20"/>
          <w:lang w:val="en-GB"/>
        </w:rPr>
      </w:pPr>
      <w:r>
        <w:rPr>
          <w:rFonts w:ascii="Times New Roman" w:hAnsi="Times New Roman"/>
          <w:sz w:val="20"/>
          <w:lang w:val="en-GB"/>
        </w:rPr>
        <w:t>Additional</w:t>
      </w:r>
      <w:r w:rsidR="00D57C8C">
        <w:rPr>
          <w:rFonts w:ascii="Times New Roman" w:hAnsi="Times New Roman"/>
          <w:sz w:val="20"/>
          <w:lang w:val="en-GB"/>
        </w:rPr>
        <w:t xml:space="preserve"> metric to be reported per slice was discussed at last meeting (RAN3#107bis-e)</w:t>
      </w:r>
      <w:r>
        <w:rPr>
          <w:rFonts w:ascii="Times New Roman" w:hAnsi="Times New Roman"/>
          <w:sz w:val="20"/>
          <w:lang w:val="en-GB"/>
        </w:rPr>
        <w:t>.</w:t>
      </w:r>
      <w:r w:rsidR="00D57C8C">
        <w:rPr>
          <w:rFonts w:ascii="Times New Roman" w:hAnsi="Times New Roman"/>
          <w:sz w:val="20"/>
          <w:lang w:val="en-GB"/>
        </w:rPr>
        <w:t xml:space="preserve"> </w:t>
      </w:r>
      <w:r>
        <w:rPr>
          <w:rFonts w:ascii="Times New Roman" w:hAnsi="Times New Roman"/>
          <w:sz w:val="20"/>
          <w:lang w:val="en-GB"/>
        </w:rPr>
        <w:t>The discussion status is as follows:</w:t>
      </w:r>
    </w:p>
    <w:p w14:paraId="673D6628" w14:textId="77777777" w:rsidR="00D57C8C" w:rsidRDefault="00D57C8C" w:rsidP="00D57C8C">
      <w:pPr>
        <w:pStyle w:val="00BodyText"/>
        <w:spacing w:after="0"/>
        <w:rPr>
          <w:rFonts w:ascii="Times New Roman" w:hAnsi="Times New Roman"/>
          <w:sz w:val="20"/>
          <w:lang w:val="en-GB"/>
        </w:rPr>
      </w:pPr>
    </w:p>
    <w:p w14:paraId="3985070A" w14:textId="041E972B" w:rsidR="00D57C8C" w:rsidRPr="00285CBD" w:rsidRDefault="00D57C8C" w:rsidP="00D57C8C">
      <w:pPr>
        <w:spacing w:after="0"/>
        <w:rPr>
          <w:rFonts w:ascii="Calibri" w:hAnsi="Calibri" w:cs="Calibri"/>
          <w:b/>
          <w:bCs/>
          <w:color w:val="0070C0"/>
          <w:sz w:val="18"/>
          <w:szCs w:val="18"/>
        </w:rPr>
      </w:pPr>
      <w:r w:rsidRPr="00285CBD">
        <w:rPr>
          <w:rFonts w:ascii="Calibri" w:hAnsi="Calibri" w:cs="Calibri"/>
          <w:b/>
          <w:bCs/>
          <w:color w:val="0070C0"/>
          <w:sz w:val="18"/>
          <w:szCs w:val="18"/>
          <w:highlight w:val="yellow"/>
        </w:rPr>
        <w:t xml:space="preserve">&lt;&lt; Excerpt Summary of offline discussion </w:t>
      </w:r>
      <w:r w:rsidR="00F17AF9">
        <w:rPr>
          <w:rFonts w:ascii="Calibri" w:hAnsi="Calibri" w:cs="Calibri"/>
          <w:b/>
          <w:bCs/>
          <w:color w:val="0070C0"/>
          <w:sz w:val="18"/>
          <w:szCs w:val="18"/>
          <w:highlight w:val="yellow"/>
        </w:rPr>
        <w:t>[1]</w:t>
      </w:r>
      <w:r w:rsidR="00F17AF9" w:rsidRPr="00285CBD">
        <w:rPr>
          <w:rFonts w:ascii="Calibri" w:hAnsi="Calibri" w:cs="Calibri"/>
          <w:b/>
          <w:bCs/>
          <w:color w:val="0070C0"/>
          <w:sz w:val="18"/>
          <w:szCs w:val="18"/>
          <w:highlight w:val="yellow"/>
        </w:rPr>
        <w:t xml:space="preserve"> </w:t>
      </w:r>
      <w:r w:rsidRPr="00285CBD">
        <w:rPr>
          <w:rFonts w:ascii="Calibri" w:hAnsi="Calibri" w:cs="Calibri"/>
          <w:b/>
          <w:bCs/>
          <w:color w:val="0070C0"/>
          <w:sz w:val="18"/>
          <w:szCs w:val="18"/>
          <w:highlight w:val="yellow"/>
        </w:rPr>
        <w:t>&gt;&gt;</w:t>
      </w:r>
    </w:p>
    <w:p w14:paraId="3BD36824" w14:textId="77777777" w:rsidR="00D57C8C" w:rsidRPr="00285CBD" w:rsidRDefault="00D57C8C" w:rsidP="00D57C8C">
      <w:pPr>
        <w:spacing w:after="0"/>
        <w:rPr>
          <w:rFonts w:ascii="Calibri" w:hAnsi="Calibri" w:cs="Calibri"/>
          <w:i/>
          <w:iCs/>
          <w:sz w:val="18"/>
          <w:szCs w:val="18"/>
          <w:u w:val="single"/>
        </w:rPr>
      </w:pPr>
      <w:r w:rsidRPr="00285CBD">
        <w:rPr>
          <w:rFonts w:ascii="Calibri" w:hAnsi="Calibri" w:cs="Calibri"/>
          <w:i/>
          <w:iCs/>
          <w:sz w:val="18"/>
          <w:szCs w:val="18"/>
          <w:u w:val="single"/>
        </w:rPr>
        <w:t>Additional metric to be reported per slice</w:t>
      </w:r>
    </w:p>
    <w:p w14:paraId="384EF22A" w14:textId="77777777" w:rsidR="00D57C8C" w:rsidRPr="00285CBD" w:rsidRDefault="00D57C8C" w:rsidP="00D57C8C">
      <w:pPr>
        <w:spacing w:after="0"/>
        <w:rPr>
          <w:rFonts w:ascii="Calibri" w:hAnsi="Calibri" w:cs="Calibri"/>
          <w:i/>
          <w:iCs/>
          <w:sz w:val="18"/>
          <w:szCs w:val="18"/>
        </w:rPr>
      </w:pPr>
      <w:r w:rsidRPr="00285CBD">
        <w:rPr>
          <w:rFonts w:ascii="Calibri" w:hAnsi="Calibri" w:cs="Calibri"/>
          <w:i/>
          <w:iCs/>
          <w:sz w:val="18"/>
          <w:szCs w:val="18"/>
        </w:rPr>
        <w:t>Several companies see benefits for enhancements, other companies believe this can be continued in Rel-17.</w:t>
      </w:r>
    </w:p>
    <w:p w14:paraId="47ACFADE" w14:textId="77777777" w:rsidR="00D57C8C" w:rsidRPr="00285CBD" w:rsidRDefault="00D57C8C" w:rsidP="00D57C8C">
      <w:pPr>
        <w:spacing w:after="0"/>
        <w:rPr>
          <w:rFonts w:ascii="Calibri" w:hAnsi="Calibri" w:cs="Calibri"/>
          <w:i/>
          <w:iCs/>
          <w:sz w:val="18"/>
          <w:szCs w:val="18"/>
        </w:rPr>
      </w:pPr>
      <w:r w:rsidRPr="00285CBD">
        <w:rPr>
          <w:rFonts w:ascii="Calibri" w:hAnsi="Calibri" w:cs="Calibri"/>
          <w:i/>
          <w:iCs/>
          <w:sz w:val="18"/>
          <w:szCs w:val="18"/>
        </w:rPr>
        <w:t>To be continued based on contribution.</w:t>
      </w:r>
    </w:p>
    <w:p w14:paraId="5220E6AC" w14:textId="77777777" w:rsidR="00D57C8C" w:rsidRPr="00285CBD" w:rsidRDefault="00D57C8C" w:rsidP="00D57C8C">
      <w:pPr>
        <w:spacing w:after="0"/>
        <w:rPr>
          <w:rFonts w:ascii="Calibri" w:hAnsi="Calibri" w:cs="Calibri"/>
          <w:b/>
          <w:bCs/>
          <w:color w:val="0070C0"/>
          <w:sz w:val="18"/>
          <w:szCs w:val="18"/>
        </w:rPr>
      </w:pPr>
      <w:r w:rsidRPr="00285CBD">
        <w:rPr>
          <w:rFonts w:ascii="Calibri" w:hAnsi="Calibri" w:cs="Calibri"/>
          <w:b/>
          <w:bCs/>
          <w:color w:val="0070C0"/>
          <w:sz w:val="18"/>
          <w:szCs w:val="18"/>
          <w:highlight w:val="yellow"/>
        </w:rPr>
        <w:t>&lt;&lt; End of excerpt Summary of offline discussion &gt;&gt;</w:t>
      </w:r>
    </w:p>
    <w:p w14:paraId="533E2E06" w14:textId="54FE97D4" w:rsidR="00D57C8C" w:rsidRDefault="00D57C8C" w:rsidP="00D57C8C">
      <w:pPr>
        <w:pStyle w:val="00BodyText"/>
        <w:spacing w:after="0"/>
        <w:rPr>
          <w:rFonts w:ascii="Times New Roman" w:hAnsi="Times New Roman"/>
          <w:sz w:val="20"/>
          <w:lang w:val="en-GB"/>
        </w:rPr>
      </w:pPr>
    </w:p>
    <w:p w14:paraId="02365A7E" w14:textId="3A71304C" w:rsidR="00960FD3" w:rsidRDefault="006F2F9E" w:rsidP="00D57C8C">
      <w:pPr>
        <w:pStyle w:val="00BodyText"/>
        <w:spacing w:after="0"/>
        <w:rPr>
          <w:rFonts w:ascii="Times New Roman" w:hAnsi="Times New Roman"/>
          <w:sz w:val="20"/>
          <w:lang w:val="en-GB"/>
        </w:rPr>
      </w:pPr>
      <w:r>
        <w:rPr>
          <w:rFonts w:ascii="Times New Roman" w:hAnsi="Times New Roman"/>
          <w:sz w:val="20"/>
          <w:lang w:val="en-GB"/>
        </w:rPr>
        <w:t>O</w:t>
      </w:r>
      <w:r w:rsidR="008152FE">
        <w:rPr>
          <w:rFonts w:ascii="Times New Roman" w:hAnsi="Times New Roman"/>
          <w:sz w:val="20"/>
          <w:lang w:val="en-GB"/>
        </w:rPr>
        <w:t xml:space="preserve">ur proposal </w:t>
      </w:r>
      <w:r w:rsidR="006C5585">
        <w:rPr>
          <w:rFonts w:ascii="Times New Roman" w:hAnsi="Times New Roman"/>
          <w:sz w:val="20"/>
          <w:lang w:val="en-GB"/>
        </w:rPr>
        <w:t>[2]</w:t>
      </w:r>
      <w:r>
        <w:rPr>
          <w:rFonts w:ascii="Times New Roman" w:hAnsi="Times New Roman"/>
          <w:sz w:val="20"/>
          <w:lang w:val="en-GB"/>
        </w:rPr>
        <w:t xml:space="preserve"> to last meeting included addition of TNL reporting and Radio Resource Status per slice on F1. The motivation to report this metric per slice is the same as the one indicated for E1 in section 2.3 above, i.e. enable the CU </w:t>
      </w:r>
      <w:r w:rsidR="003161FE">
        <w:rPr>
          <w:rFonts w:ascii="Times New Roman" w:hAnsi="Times New Roman"/>
          <w:sz w:val="20"/>
          <w:lang w:val="en-GB"/>
        </w:rPr>
        <w:t xml:space="preserve">(or CU-CP) </w:t>
      </w:r>
      <w:r>
        <w:rPr>
          <w:rFonts w:ascii="Times New Roman" w:hAnsi="Times New Roman"/>
          <w:sz w:val="20"/>
          <w:lang w:val="en-GB"/>
        </w:rPr>
        <w:t xml:space="preserve">to anticipate on </w:t>
      </w:r>
      <w:r w:rsidR="003161FE">
        <w:rPr>
          <w:rFonts w:ascii="Times New Roman" w:hAnsi="Times New Roman"/>
          <w:sz w:val="20"/>
          <w:lang w:val="en-GB"/>
        </w:rPr>
        <w:t xml:space="preserve">the </w:t>
      </w:r>
      <w:r>
        <w:rPr>
          <w:rFonts w:ascii="Times New Roman" w:hAnsi="Times New Roman"/>
          <w:sz w:val="20"/>
          <w:lang w:val="en-GB"/>
        </w:rPr>
        <w:t>access control outcome in the DU and hence avoid time</w:t>
      </w:r>
      <w:r w:rsidR="003161FE">
        <w:rPr>
          <w:rFonts w:ascii="Times New Roman" w:hAnsi="Times New Roman"/>
          <w:sz w:val="20"/>
          <w:lang w:val="en-GB"/>
        </w:rPr>
        <w:t>-</w:t>
      </w:r>
      <w:r>
        <w:rPr>
          <w:rFonts w:ascii="Times New Roman" w:hAnsi="Times New Roman"/>
          <w:sz w:val="20"/>
          <w:lang w:val="en-GB"/>
        </w:rPr>
        <w:t xml:space="preserve"> and processing consuming signalling in high load scenarios. </w:t>
      </w:r>
    </w:p>
    <w:p w14:paraId="2B307861" w14:textId="77777777" w:rsidR="00960FD3" w:rsidRDefault="00960FD3" w:rsidP="00D57C8C">
      <w:pPr>
        <w:pStyle w:val="00BodyText"/>
        <w:spacing w:after="0"/>
        <w:rPr>
          <w:rFonts w:ascii="Times New Roman" w:hAnsi="Times New Roman"/>
          <w:sz w:val="20"/>
          <w:lang w:val="en-GB"/>
        </w:rPr>
      </w:pPr>
    </w:p>
    <w:p w14:paraId="7F9E819B" w14:textId="46C0C3E2" w:rsidR="006F2F9E" w:rsidRDefault="003161FE" w:rsidP="00D57C8C">
      <w:pPr>
        <w:pStyle w:val="00BodyText"/>
        <w:spacing w:after="0"/>
        <w:rPr>
          <w:rFonts w:ascii="Times New Roman" w:hAnsi="Times New Roman"/>
          <w:sz w:val="20"/>
          <w:lang w:val="en-GB"/>
        </w:rPr>
      </w:pPr>
      <w:r>
        <w:rPr>
          <w:rFonts w:ascii="Times New Roman" w:hAnsi="Times New Roman"/>
          <w:sz w:val="20"/>
          <w:lang w:val="en-GB"/>
        </w:rPr>
        <w:lastRenderedPageBreak/>
        <w:t>The proposal</w:t>
      </w:r>
      <w:r w:rsidR="006F2F9E">
        <w:rPr>
          <w:rFonts w:ascii="Times New Roman" w:hAnsi="Times New Roman"/>
          <w:sz w:val="20"/>
          <w:lang w:val="en-GB"/>
        </w:rPr>
        <w:t xml:space="preserve"> </w:t>
      </w:r>
      <w:proofErr w:type="gramStart"/>
      <w:r w:rsidR="006F2F9E">
        <w:rPr>
          <w:rFonts w:ascii="Times New Roman" w:hAnsi="Times New Roman"/>
          <w:sz w:val="20"/>
          <w:lang w:val="en-GB"/>
        </w:rPr>
        <w:t>takes into account</w:t>
      </w:r>
      <w:proofErr w:type="gramEnd"/>
      <w:r w:rsidR="006F2F9E">
        <w:rPr>
          <w:rFonts w:ascii="Times New Roman" w:hAnsi="Times New Roman"/>
          <w:sz w:val="20"/>
          <w:lang w:val="en-GB"/>
        </w:rPr>
        <w:t xml:space="preserve"> that </w:t>
      </w:r>
      <w:r w:rsidR="00477FF3">
        <w:rPr>
          <w:rFonts w:ascii="Times New Roman" w:hAnsi="Times New Roman"/>
          <w:sz w:val="20"/>
          <w:lang w:val="en-GB"/>
        </w:rPr>
        <w:t xml:space="preserve">the operator may allocate </w:t>
      </w:r>
      <w:r>
        <w:rPr>
          <w:rFonts w:ascii="Times New Roman" w:hAnsi="Times New Roman"/>
          <w:sz w:val="20"/>
          <w:lang w:val="en-GB"/>
        </w:rPr>
        <w:t>both transport and radio resources per slice</w:t>
      </w:r>
      <w:r w:rsidR="00960FD3">
        <w:rPr>
          <w:rFonts w:ascii="Times New Roman" w:hAnsi="Times New Roman"/>
          <w:sz w:val="20"/>
          <w:lang w:val="en-GB"/>
        </w:rPr>
        <w:t xml:space="preserve">, and access control therefore has to be performed per slice. For the radio resources, </w:t>
      </w:r>
      <w:proofErr w:type="gramStart"/>
      <w:r w:rsidR="0021406F">
        <w:rPr>
          <w:rFonts w:ascii="Times New Roman" w:hAnsi="Times New Roman"/>
          <w:sz w:val="20"/>
          <w:lang w:val="en-GB"/>
        </w:rPr>
        <w:t xml:space="preserve">in particular </w:t>
      </w:r>
      <w:r w:rsidR="00960FD3">
        <w:rPr>
          <w:rFonts w:ascii="Times New Roman" w:hAnsi="Times New Roman"/>
          <w:sz w:val="20"/>
          <w:lang w:val="en-GB"/>
        </w:rPr>
        <w:t>PRB</w:t>
      </w:r>
      <w:proofErr w:type="gramEnd"/>
      <w:r w:rsidR="00960FD3">
        <w:rPr>
          <w:rFonts w:ascii="Times New Roman" w:hAnsi="Times New Roman"/>
          <w:sz w:val="20"/>
          <w:lang w:val="en-GB"/>
        </w:rPr>
        <w:t xml:space="preserve"> load reported </w:t>
      </w:r>
      <w:r w:rsidR="0021406F">
        <w:rPr>
          <w:rFonts w:ascii="Times New Roman" w:hAnsi="Times New Roman"/>
          <w:sz w:val="20"/>
          <w:lang w:val="en-GB"/>
        </w:rPr>
        <w:t xml:space="preserve">per slice </w:t>
      </w:r>
      <w:r w:rsidR="00960FD3">
        <w:rPr>
          <w:rFonts w:ascii="Times New Roman" w:hAnsi="Times New Roman"/>
          <w:sz w:val="20"/>
          <w:lang w:val="en-GB"/>
        </w:rPr>
        <w:t xml:space="preserve">for GBR bearers </w:t>
      </w:r>
      <w:r w:rsidR="0021406F">
        <w:rPr>
          <w:rFonts w:ascii="Times New Roman" w:hAnsi="Times New Roman"/>
          <w:sz w:val="20"/>
          <w:lang w:val="en-GB"/>
        </w:rPr>
        <w:t>is important information required to perform access control in the CU.</w:t>
      </w:r>
    </w:p>
    <w:p w14:paraId="4EC3F7DA" w14:textId="77777777" w:rsidR="006F2F9E" w:rsidRDefault="006F2F9E" w:rsidP="00D57C8C">
      <w:pPr>
        <w:pStyle w:val="00BodyText"/>
        <w:spacing w:after="0"/>
        <w:rPr>
          <w:rFonts w:ascii="Times New Roman" w:hAnsi="Times New Roman"/>
          <w:sz w:val="20"/>
          <w:lang w:val="en-GB"/>
        </w:rPr>
      </w:pPr>
    </w:p>
    <w:p w14:paraId="47287C36" w14:textId="3A02C692" w:rsidR="00391630" w:rsidRPr="00391630" w:rsidRDefault="00391630" w:rsidP="00D57C8C">
      <w:pPr>
        <w:pStyle w:val="00BodyText"/>
        <w:spacing w:after="0"/>
        <w:rPr>
          <w:rFonts w:ascii="Times New Roman" w:hAnsi="Times New Roman"/>
          <w:b/>
          <w:bCs/>
          <w:sz w:val="20"/>
          <w:lang w:val="en-GB"/>
        </w:rPr>
      </w:pPr>
      <w:r w:rsidRPr="00391630">
        <w:rPr>
          <w:rFonts w:ascii="Times New Roman" w:hAnsi="Times New Roman"/>
          <w:b/>
          <w:bCs/>
          <w:sz w:val="20"/>
          <w:lang w:val="en-GB"/>
        </w:rPr>
        <w:t>Proposal 4: Report TNL load per slice on F1.</w:t>
      </w:r>
    </w:p>
    <w:p w14:paraId="44DD6539" w14:textId="3905F5CF" w:rsidR="00391630" w:rsidRPr="00391630" w:rsidRDefault="00391630" w:rsidP="00D57C8C">
      <w:pPr>
        <w:pStyle w:val="00BodyText"/>
        <w:spacing w:after="0"/>
        <w:rPr>
          <w:rFonts w:ascii="Times New Roman" w:hAnsi="Times New Roman"/>
          <w:b/>
          <w:bCs/>
          <w:sz w:val="20"/>
          <w:lang w:val="en-GB"/>
        </w:rPr>
      </w:pPr>
      <w:r w:rsidRPr="00391630">
        <w:rPr>
          <w:rFonts w:ascii="Times New Roman" w:hAnsi="Times New Roman"/>
          <w:b/>
          <w:bCs/>
          <w:sz w:val="20"/>
          <w:lang w:val="en-GB"/>
        </w:rPr>
        <w:t>Proposal 5: Report Radio Resource Status per slice on F1.</w:t>
      </w:r>
    </w:p>
    <w:p w14:paraId="5259783C" w14:textId="77777777" w:rsidR="00391630" w:rsidRDefault="00391630" w:rsidP="00D57C8C">
      <w:pPr>
        <w:pStyle w:val="00BodyText"/>
        <w:spacing w:after="0"/>
        <w:rPr>
          <w:rFonts w:ascii="Times New Roman" w:hAnsi="Times New Roman"/>
          <w:sz w:val="20"/>
          <w:lang w:val="en-GB"/>
        </w:rPr>
      </w:pPr>
    </w:p>
    <w:p w14:paraId="52FDF77F" w14:textId="53C0531C" w:rsidR="00CE2286" w:rsidRDefault="00456CCE" w:rsidP="00456CCE">
      <w:pPr>
        <w:pStyle w:val="Heading2"/>
      </w:pPr>
      <w:r>
        <w:t>2.</w:t>
      </w:r>
      <w:r w:rsidR="00435395">
        <w:t>5</w:t>
      </w:r>
      <w:r>
        <w:tab/>
        <w:t>Number of Active UEs</w:t>
      </w:r>
    </w:p>
    <w:p w14:paraId="25225B25" w14:textId="36FC8F58" w:rsidR="00CE2286" w:rsidRDefault="00456CCE" w:rsidP="00B03CB3">
      <w:pPr>
        <w:pStyle w:val="00BodyText"/>
        <w:spacing w:after="0"/>
        <w:rPr>
          <w:rFonts w:ascii="Times New Roman" w:hAnsi="Times New Roman"/>
          <w:sz w:val="20"/>
          <w:lang w:val="en-GB"/>
        </w:rPr>
      </w:pPr>
      <w:r>
        <w:rPr>
          <w:rFonts w:ascii="Times New Roman" w:hAnsi="Times New Roman"/>
          <w:sz w:val="20"/>
          <w:lang w:val="en-GB"/>
        </w:rPr>
        <w:t>For reporting of number of active UEs, the open point was described by the rapporteur as follows:</w:t>
      </w:r>
    </w:p>
    <w:p w14:paraId="18AD51B7" w14:textId="77777777" w:rsidR="00456CCE" w:rsidRPr="00456CCE" w:rsidRDefault="00456CCE" w:rsidP="00456CCE">
      <w:pPr>
        <w:pStyle w:val="00BodyText"/>
        <w:numPr>
          <w:ilvl w:val="1"/>
          <w:numId w:val="6"/>
        </w:numPr>
        <w:spacing w:after="0"/>
        <w:rPr>
          <w:color w:val="FF0000"/>
          <w:lang w:val="fr-FR"/>
        </w:rPr>
      </w:pPr>
      <w:r w:rsidRPr="00456CCE">
        <w:rPr>
          <w:color w:val="FF0000"/>
        </w:rPr>
        <w:t>Stage 3 details of introducing active UEs (which interface / which information)</w:t>
      </w:r>
    </w:p>
    <w:p w14:paraId="1213E9EE" w14:textId="668D2837" w:rsidR="00456CCE" w:rsidRDefault="00456CCE" w:rsidP="00B03CB3">
      <w:pPr>
        <w:pStyle w:val="00BodyText"/>
        <w:spacing w:after="0"/>
        <w:rPr>
          <w:rFonts w:ascii="Times New Roman" w:hAnsi="Times New Roman"/>
          <w:sz w:val="20"/>
          <w:lang w:val="en-GB"/>
        </w:rPr>
      </w:pPr>
    </w:p>
    <w:p w14:paraId="654BA1F4" w14:textId="1D8EE3FB" w:rsidR="00456CCE" w:rsidRDefault="00456CCE" w:rsidP="00B03CB3">
      <w:pPr>
        <w:pStyle w:val="00BodyText"/>
        <w:spacing w:after="0"/>
        <w:rPr>
          <w:rFonts w:ascii="Times New Roman" w:hAnsi="Times New Roman"/>
          <w:sz w:val="20"/>
          <w:lang w:val="en-GB"/>
        </w:rPr>
      </w:pPr>
      <w:r>
        <w:rPr>
          <w:rFonts w:ascii="Times New Roman" w:hAnsi="Times New Roman"/>
          <w:sz w:val="20"/>
          <w:lang w:val="en-GB"/>
        </w:rPr>
        <w:t>The options captured at previous meeting were:</w:t>
      </w:r>
    </w:p>
    <w:p w14:paraId="3F483196" w14:textId="6D0BC349" w:rsidR="00735F2C" w:rsidRPr="00735F2C" w:rsidRDefault="00735F2C" w:rsidP="00735F2C">
      <w:pPr>
        <w:pStyle w:val="00BodyText"/>
        <w:numPr>
          <w:ilvl w:val="0"/>
          <w:numId w:val="7"/>
        </w:numPr>
        <w:spacing w:after="0"/>
        <w:rPr>
          <w:rFonts w:ascii="Times New Roman" w:hAnsi="Times New Roman"/>
          <w:sz w:val="20"/>
          <w:lang w:val="en-GB"/>
        </w:rPr>
      </w:pPr>
      <w:r>
        <w:rPr>
          <w:rFonts w:ascii="Times New Roman" w:hAnsi="Times New Roman"/>
          <w:sz w:val="20"/>
          <w:lang w:val="en-GB"/>
        </w:rPr>
        <w:t xml:space="preserve">Option 1: </w:t>
      </w:r>
      <w:proofErr w:type="spellStart"/>
      <w:r w:rsidRPr="00735F2C">
        <w:rPr>
          <w:rFonts w:ascii="Times New Roman" w:hAnsi="Times New Roman"/>
          <w:sz w:val="20"/>
          <w:lang w:val="en-GB"/>
        </w:rPr>
        <w:t>Xn</w:t>
      </w:r>
      <w:proofErr w:type="spellEnd"/>
      <w:r w:rsidRPr="00735F2C">
        <w:rPr>
          <w:rFonts w:ascii="Times New Roman" w:hAnsi="Times New Roman"/>
          <w:sz w:val="20"/>
          <w:lang w:val="en-GB"/>
        </w:rPr>
        <w:t xml:space="preserve"> only </w:t>
      </w:r>
    </w:p>
    <w:p w14:paraId="4FA31D36" w14:textId="622D1EC2" w:rsidR="00735F2C" w:rsidRPr="00735F2C" w:rsidRDefault="00735F2C" w:rsidP="00735F2C">
      <w:pPr>
        <w:pStyle w:val="00BodyText"/>
        <w:numPr>
          <w:ilvl w:val="0"/>
          <w:numId w:val="7"/>
        </w:numPr>
        <w:spacing w:after="0"/>
        <w:rPr>
          <w:rFonts w:ascii="Times New Roman" w:hAnsi="Times New Roman"/>
          <w:sz w:val="20"/>
          <w:lang w:val="en-GB"/>
        </w:rPr>
      </w:pPr>
      <w:r>
        <w:rPr>
          <w:rFonts w:ascii="Times New Roman" w:hAnsi="Times New Roman"/>
          <w:sz w:val="20"/>
          <w:lang w:val="en-GB"/>
        </w:rPr>
        <w:t xml:space="preserve">Option 2: </w:t>
      </w:r>
      <w:r w:rsidRPr="00735F2C">
        <w:rPr>
          <w:rFonts w:ascii="Times New Roman" w:hAnsi="Times New Roman"/>
          <w:sz w:val="20"/>
          <w:lang w:val="en-GB"/>
        </w:rPr>
        <w:t>F1+Xn, based on TS 38.314 section 4.1.1.3 (per DRB (QCI) level measurements)</w:t>
      </w:r>
    </w:p>
    <w:p w14:paraId="0DCCD048" w14:textId="04DF742D" w:rsidR="00456CCE" w:rsidRDefault="00735F2C" w:rsidP="00735F2C">
      <w:pPr>
        <w:pStyle w:val="00BodyText"/>
        <w:numPr>
          <w:ilvl w:val="0"/>
          <w:numId w:val="7"/>
        </w:numPr>
        <w:spacing w:after="0"/>
        <w:rPr>
          <w:rFonts w:ascii="Times New Roman" w:hAnsi="Times New Roman"/>
          <w:sz w:val="20"/>
          <w:lang w:val="en-GB"/>
        </w:rPr>
      </w:pPr>
      <w:r>
        <w:rPr>
          <w:rFonts w:ascii="Times New Roman" w:hAnsi="Times New Roman"/>
          <w:sz w:val="20"/>
          <w:lang w:val="en-GB"/>
        </w:rPr>
        <w:t xml:space="preserve">Option 3: </w:t>
      </w:r>
      <w:r w:rsidRPr="00735F2C">
        <w:rPr>
          <w:rFonts w:ascii="Times New Roman" w:hAnsi="Times New Roman"/>
          <w:sz w:val="20"/>
          <w:lang w:val="en-GB"/>
        </w:rPr>
        <w:t xml:space="preserve">F1 + </w:t>
      </w:r>
      <w:proofErr w:type="spellStart"/>
      <w:r w:rsidRPr="00735F2C">
        <w:rPr>
          <w:rFonts w:ascii="Times New Roman" w:hAnsi="Times New Roman"/>
          <w:sz w:val="20"/>
          <w:lang w:val="en-GB"/>
        </w:rPr>
        <w:t>Xn</w:t>
      </w:r>
      <w:proofErr w:type="spellEnd"/>
      <w:r w:rsidRPr="00735F2C">
        <w:rPr>
          <w:rFonts w:ascii="Times New Roman" w:hAnsi="Times New Roman"/>
          <w:sz w:val="20"/>
          <w:lang w:val="en-GB"/>
        </w:rPr>
        <w:t>, based on TS 38.314 section 4.1.1.3.5 Mean number of Active UEs per cell</w:t>
      </w:r>
    </w:p>
    <w:p w14:paraId="28BDA6FE" w14:textId="0F0966ED" w:rsidR="00456CCE" w:rsidRDefault="00735F2C" w:rsidP="00B03CB3">
      <w:pPr>
        <w:pStyle w:val="00BodyText"/>
        <w:spacing w:after="0"/>
        <w:rPr>
          <w:rFonts w:ascii="Times New Roman" w:hAnsi="Times New Roman"/>
          <w:sz w:val="20"/>
          <w:lang w:val="en-GB"/>
        </w:rPr>
      </w:pPr>
      <w:r>
        <w:rPr>
          <w:rFonts w:ascii="Times New Roman" w:hAnsi="Times New Roman"/>
          <w:sz w:val="20"/>
          <w:lang w:val="en-GB"/>
        </w:rPr>
        <w:t>with a</w:t>
      </w:r>
      <w:r w:rsidRPr="00735F2C">
        <w:rPr>
          <w:rFonts w:ascii="Times New Roman" w:hAnsi="Times New Roman"/>
          <w:sz w:val="20"/>
          <w:lang w:val="en-GB"/>
        </w:rPr>
        <w:t>dditional question on whether to also report on X2</w:t>
      </w:r>
      <w:r>
        <w:rPr>
          <w:rFonts w:ascii="Times New Roman" w:hAnsi="Times New Roman"/>
          <w:sz w:val="20"/>
          <w:lang w:val="en-GB"/>
        </w:rPr>
        <w:t>.</w:t>
      </w:r>
    </w:p>
    <w:p w14:paraId="1590C3F8" w14:textId="70BFB90F" w:rsidR="00CE2286" w:rsidRDefault="00CE2286" w:rsidP="00B03CB3">
      <w:pPr>
        <w:pStyle w:val="00BodyText"/>
        <w:spacing w:after="0"/>
        <w:rPr>
          <w:rFonts w:ascii="Times New Roman" w:hAnsi="Times New Roman"/>
          <w:sz w:val="20"/>
          <w:lang w:val="en-GB"/>
        </w:rPr>
      </w:pPr>
    </w:p>
    <w:p w14:paraId="3B3A4614" w14:textId="0A7CB005" w:rsidR="00DA0143" w:rsidRDefault="00DA0143" w:rsidP="00B03CB3">
      <w:pPr>
        <w:pStyle w:val="00BodyText"/>
        <w:spacing w:after="0"/>
        <w:rPr>
          <w:rFonts w:ascii="Times New Roman" w:hAnsi="Times New Roman"/>
          <w:sz w:val="20"/>
          <w:lang w:val="en-GB"/>
        </w:rPr>
      </w:pPr>
      <w:r>
        <w:rPr>
          <w:rFonts w:ascii="Times New Roman" w:hAnsi="Times New Roman"/>
          <w:sz w:val="20"/>
          <w:lang w:val="en-GB"/>
        </w:rPr>
        <w:t>Concerning options 2 and 3, it could be noted that TS 38.314, planned for Rel-16, is currently not approved but available in draft version 0.2.0. The different metric described section 4.1.1.3 are being elaborated by RAN2 for the purpose of performance monitoring, and their use for load reporting on network interfaces was so far not considered by RAN2. Due to currently ongoing discussion in RAN2 it seems premature for RAN3 to take agreements on their use on network interfaces.</w:t>
      </w:r>
    </w:p>
    <w:p w14:paraId="6C797652" w14:textId="0ABD2513" w:rsidR="00DA0143" w:rsidRDefault="00DA0143" w:rsidP="00B03CB3">
      <w:pPr>
        <w:pStyle w:val="00BodyText"/>
        <w:spacing w:after="0"/>
        <w:rPr>
          <w:rFonts w:ascii="Times New Roman" w:hAnsi="Times New Roman"/>
          <w:sz w:val="20"/>
          <w:lang w:val="en-GB"/>
        </w:rPr>
      </w:pPr>
    </w:p>
    <w:p w14:paraId="1543F1FE" w14:textId="66785D59" w:rsidR="00DA0143" w:rsidRDefault="00B20D02" w:rsidP="00B03CB3">
      <w:pPr>
        <w:pStyle w:val="00BodyText"/>
        <w:spacing w:after="0"/>
        <w:rPr>
          <w:rFonts w:ascii="Times New Roman" w:hAnsi="Times New Roman"/>
          <w:sz w:val="20"/>
          <w:lang w:val="en-GB"/>
        </w:rPr>
      </w:pPr>
      <w:r>
        <w:rPr>
          <w:rFonts w:ascii="Times New Roman" w:hAnsi="Times New Roman"/>
          <w:sz w:val="20"/>
          <w:lang w:val="en-GB"/>
        </w:rPr>
        <w:t>Option 1 is based on information already available in the CU-CP, where legacy UE inactivity information sent by the CU-UP enables the CU-CP to determine how many UEs are active among the UEs with a context setup in the CU-UP. We propose information along these lines:</w:t>
      </w:r>
    </w:p>
    <w:p w14:paraId="32A20263" w14:textId="0C426EC1" w:rsidR="00B20D02" w:rsidRDefault="00B20D02" w:rsidP="00B03CB3">
      <w:pPr>
        <w:pStyle w:val="00BodyText"/>
        <w:spacing w:after="0"/>
        <w:rPr>
          <w:rFonts w:ascii="Times New Roman" w:hAnsi="Times New Roman"/>
          <w:sz w:val="20"/>
          <w:lang w:val="en-GB"/>
        </w:rPr>
      </w:pPr>
    </w:p>
    <w:p w14:paraId="15331AE2" w14:textId="77777777" w:rsidR="00B20D02" w:rsidRDefault="00B20D02" w:rsidP="00B20D02">
      <w:pPr>
        <w:pStyle w:val="Heading4"/>
        <w:overflowPunct w:val="0"/>
        <w:autoSpaceDE w:val="0"/>
        <w:autoSpaceDN w:val="0"/>
        <w:textAlignment w:val="baseline"/>
        <w:rPr>
          <w:lang w:eastAsia="en-GB"/>
        </w:rPr>
      </w:pPr>
      <w:bookmarkStart w:id="3" w:name="OLE_LINK15"/>
      <w:bookmarkStart w:id="4" w:name="OLE_LINK16"/>
      <w:r>
        <w:rPr>
          <w:lang w:eastAsia="en-GB"/>
        </w:rPr>
        <w:t>9.2.2.</w:t>
      </w:r>
      <w:bookmarkEnd w:id="3"/>
      <w:bookmarkEnd w:id="4"/>
      <w:r>
        <w:rPr>
          <w:lang w:eastAsia="en-GB"/>
        </w:rPr>
        <w:t>xx        Active Users</w:t>
      </w:r>
    </w:p>
    <w:p w14:paraId="649B0B11" w14:textId="77777777" w:rsidR="00B20D02" w:rsidRDefault="00B20D02" w:rsidP="00B20D02">
      <w:pPr>
        <w:rPr>
          <w:rFonts w:eastAsia="Calibri"/>
        </w:rPr>
      </w:pPr>
      <w:r>
        <w:t xml:space="preserve">The </w:t>
      </w:r>
      <w:r>
        <w:rPr>
          <w:i/>
          <w:iCs/>
          <w:lang w:eastAsia="zh-CN"/>
        </w:rPr>
        <w:t xml:space="preserve">Active Users </w:t>
      </w:r>
      <w:r>
        <w:t xml:space="preserve">IE indicates the overall </w:t>
      </w:r>
      <w:r>
        <w:rPr>
          <w:lang w:eastAsia="zh-CN"/>
        </w:rPr>
        <w:t>status of number of active users</w:t>
      </w:r>
      <w:r>
        <w:t xml:space="preserve"> per cell as determined by the CU-CP.</w:t>
      </w:r>
    </w:p>
    <w:tbl>
      <w:tblPr>
        <w:tblW w:w="10185" w:type="dxa"/>
        <w:tblCellMar>
          <w:left w:w="0" w:type="dxa"/>
          <w:right w:w="0" w:type="dxa"/>
        </w:tblCellMar>
        <w:tblLook w:val="04A0" w:firstRow="1" w:lastRow="0" w:firstColumn="1" w:lastColumn="0" w:noHBand="0" w:noVBand="1"/>
      </w:tblPr>
      <w:tblGrid>
        <w:gridCol w:w="2626"/>
        <w:gridCol w:w="1080"/>
        <w:gridCol w:w="900"/>
        <w:gridCol w:w="1260"/>
        <w:gridCol w:w="2159"/>
        <w:gridCol w:w="1080"/>
        <w:gridCol w:w="1080"/>
      </w:tblGrid>
      <w:tr w:rsidR="00B20D02" w14:paraId="2D4AA849" w14:textId="77777777" w:rsidTr="00E45386">
        <w:tc>
          <w:tcPr>
            <w:tcW w:w="2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048982" w14:textId="77777777" w:rsidR="00B20D02" w:rsidRDefault="00B20D02" w:rsidP="00E45386">
            <w:pPr>
              <w:keepNext/>
              <w:jc w:val="center"/>
              <w:rPr>
                <w:rFonts w:ascii="Arial" w:hAnsi="Arial" w:cs="Arial"/>
                <w:b/>
                <w:bCs/>
                <w:sz w:val="18"/>
                <w:szCs w:val="18"/>
                <w:lang w:val="fr-FR" w:eastAsia="ja-JP"/>
              </w:rPr>
            </w:pPr>
            <w:r>
              <w:rPr>
                <w:rFonts w:ascii="Arial" w:hAnsi="Arial" w:cs="Arial"/>
                <w:b/>
                <w:bCs/>
                <w:sz w:val="18"/>
                <w:szCs w:val="18"/>
                <w:lang w:eastAsia="ja-JP"/>
              </w:rPr>
              <w:t>IE/Group Name</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1BFD24" w14:textId="77777777" w:rsidR="00B20D02" w:rsidRDefault="00B20D02" w:rsidP="00E45386">
            <w:pPr>
              <w:keepNext/>
              <w:jc w:val="center"/>
              <w:rPr>
                <w:rFonts w:ascii="Arial" w:hAnsi="Arial" w:cs="Arial"/>
                <w:b/>
                <w:bCs/>
                <w:sz w:val="18"/>
                <w:szCs w:val="18"/>
                <w:lang w:eastAsia="ja-JP"/>
              </w:rPr>
            </w:pPr>
            <w:r>
              <w:rPr>
                <w:rFonts w:ascii="Arial" w:hAnsi="Arial" w:cs="Arial"/>
                <w:b/>
                <w:bCs/>
                <w:sz w:val="18"/>
                <w:szCs w:val="18"/>
                <w:lang w:eastAsia="ja-JP"/>
              </w:rPr>
              <w:t>Presence</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CB41C5" w14:textId="77777777" w:rsidR="00B20D02" w:rsidRDefault="00B20D02" w:rsidP="00E45386">
            <w:pPr>
              <w:keepNext/>
              <w:jc w:val="center"/>
              <w:rPr>
                <w:rFonts w:ascii="Arial" w:hAnsi="Arial" w:cs="Arial"/>
                <w:b/>
                <w:bCs/>
                <w:sz w:val="18"/>
                <w:szCs w:val="18"/>
                <w:lang w:eastAsia="ja-JP"/>
              </w:rPr>
            </w:pPr>
            <w:r>
              <w:rPr>
                <w:rFonts w:ascii="Arial" w:hAnsi="Arial" w:cs="Arial"/>
                <w:b/>
                <w:bCs/>
                <w:sz w:val="18"/>
                <w:szCs w:val="18"/>
                <w:lang w:eastAsia="ja-JP"/>
              </w:rPr>
              <w:t>Range</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A6E76D" w14:textId="77777777" w:rsidR="00B20D02" w:rsidRDefault="00B20D02" w:rsidP="00E45386">
            <w:pPr>
              <w:keepNext/>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21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0917AB" w14:textId="77777777" w:rsidR="00B20D02" w:rsidRDefault="00B20D02" w:rsidP="00E45386">
            <w:pPr>
              <w:keepNext/>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DDB125" w14:textId="77777777" w:rsidR="00B20D02" w:rsidRDefault="00B20D02" w:rsidP="00E45386">
            <w:pPr>
              <w:keepNext/>
              <w:jc w:val="center"/>
              <w:rPr>
                <w:rFonts w:ascii="Arial" w:hAnsi="Arial" w:cs="Arial"/>
                <w:b/>
                <w:bCs/>
                <w:sz w:val="18"/>
                <w:szCs w:val="18"/>
                <w:lang w:eastAsia="ja-JP"/>
              </w:rPr>
            </w:pPr>
            <w:r>
              <w:rPr>
                <w:rFonts w:ascii="Arial" w:hAnsi="Arial" w:cs="Arial"/>
                <w:b/>
                <w:bCs/>
                <w:sz w:val="18"/>
                <w:szCs w:val="18"/>
                <w:lang w:eastAsia="ja-JP"/>
              </w:rPr>
              <w:t>Criticality</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E1B0DB" w14:textId="77777777" w:rsidR="00B20D02" w:rsidRDefault="00B20D02" w:rsidP="00E45386">
            <w:pPr>
              <w:keepNext/>
              <w:jc w:val="center"/>
              <w:rPr>
                <w:rFonts w:ascii="Arial" w:hAnsi="Arial" w:cs="Arial"/>
                <w:b/>
                <w:bCs/>
                <w:sz w:val="18"/>
                <w:szCs w:val="18"/>
                <w:lang w:eastAsia="ja-JP"/>
              </w:rPr>
            </w:pPr>
            <w:r>
              <w:rPr>
                <w:rFonts w:ascii="Arial" w:hAnsi="Arial" w:cs="Arial"/>
                <w:b/>
                <w:bCs/>
                <w:sz w:val="18"/>
                <w:szCs w:val="18"/>
                <w:lang w:eastAsia="ja-JP"/>
              </w:rPr>
              <w:t>Assigned Criticality</w:t>
            </w:r>
          </w:p>
        </w:tc>
      </w:tr>
      <w:tr w:rsidR="00B20D02" w14:paraId="1F13D70E" w14:textId="77777777" w:rsidTr="00E45386">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26D37C" w14:textId="77777777" w:rsidR="00B20D02" w:rsidRDefault="00B20D02" w:rsidP="00E45386">
            <w:pPr>
              <w:keepNext/>
              <w:rPr>
                <w:rFonts w:ascii="Arial" w:hAnsi="Arial" w:cs="Arial"/>
                <w:sz w:val="18"/>
                <w:szCs w:val="18"/>
                <w:lang w:eastAsia="zh-CN"/>
              </w:rPr>
            </w:pPr>
            <w:r>
              <w:rPr>
                <w:rFonts w:ascii="Arial" w:hAnsi="Arial" w:cs="Arial"/>
                <w:sz w:val="18"/>
                <w:szCs w:val="18"/>
                <w:lang w:eastAsia="zh-CN"/>
              </w:rPr>
              <w:t>Number of Active Users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008C0328" w14:textId="77777777" w:rsidR="00B20D02" w:rsidRDefault="00B20D02" w:rsidP="00E45386">
            <w:pPr>
              <w:keepNext/>
              <w:rPr>
                <w:rFonts w:ascii="Arial" w:hAnsi="Arial" w:cs="Arial"/>
                <w:sz w:val="18"/>
                <w:szCs w:val="18"/>
                <w:lang w:eastAsia="zh-CN"/>
              </w:rPr>
            </w:pPr>
            <w:r>
              <w:rPr>
                <w:rFonts w:ascii="Arial" w:hAnsi="Arial" w:cs="Arial"/>
                <w:sz w:val="18"/>
                <w:szCs w:val="18"/>
                <w:lang w:eastAsia="zh-CN"/>
              </w:rPr>
              <w:t>M</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1661D779" w14:textId="77777777" w:rsidR="00B20D02" w:rsidRDefault="00B20D02" w:rsidP="00E45386">
            <w:pPr>
              <w:keepNext/>
              <w:rPr>
                <w:rFonts w:ascii="Arial" w:hAnsi="Arial" w:cs="Arial"/>
                <w:sz w:val="18"/>
                <w:szCs w:val="18"/>
                <w:lang w:eastAsia="ja-JP"/>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293EA71" w14:textId="77777777" w:rsidR="00B20D02" w:rsidRDefault="00B20D02" w:rsidP="00E45386">
            <w:pPr>
              <w:keepNext/>
              <w:rPr>
                <w:rFonts w:ascii="Arial" w:hAnsi="Arial" w:cs="Arial"/>
                <w:sz w:val="18"/>
                <w:szCs w:val="18"/>
                <w:lang w:eastAsia="zh-CN"/>
              </w:rPr>
            </w:pPr>
            <w:r>
              <w:rPr>
                <w:rFonts w:ascii="Arial" w:hAnsi="Arial" w:cs="Arial"/>
                <w:sz w:val="18"/>
                <w:szCs w:val="18"/>
                <w:lang w:eastAsia="ja-JP"/>
              </w:rPr>
              <w:t>INTEGER (1..</w:t>
            </w:r>
            <w:r>
              <w:rPr>
                <w:rFonts w:ascii="Arial" w:hAnsi="Arial" w:cs="Arial"/>
                <w:sz w:val="18"/>
                <w:szCs w:val="18"/>
                <w:lang w:eastAsia="zh-CN"/>
              </w:rPr>
              <w:t>65536</w:t>
            </w:r>
            <w:r>
              <w:rPr>
                <w:rFonts w:ascii="Arial" w:hAnsi="Arial" w:cs="Arial"/>
                <w:sz w:val="18"/>
                <w:szCs w:val="18"/>
                <w:lang w:eastAsia="ja-JP"/>
              </w:rPr>
              <w:t>,...)</w:t>
            </w:r>
          </w:p>
        </w:tc>
        <w:tc>
          <w:tcPr>
            <w:tcW w:w="2160" w:type="dxa"/>
            <w:tcBorders>
              <w:top w:val="nil"/>
              <w:left w:val="nil"/>
              <w:bottom w:val="single" w:sz="8" w:space="0" w:color="auto"/>
              <w:right w:val="single" w:sz="8" w:space="0" w:color="auto"/>
            </w:tcBorders>
            <w:tcMar>
              <w:top w:w="0" w:type="dxa"/>
              <w:left w:w="108" w:type="dxa"/>
              <w:bottom w:w="0" w:type="dxa"/>
              <w:right w:w="108" w:type="dxa"/>
            </w:tcMar>
          </w:tcPr>
          <w:p w14:paraId="3F95B9D8" w14:textId="77777777" w:rsidR="00B20D02" w:rsidRDefault="00B20D02" w:rsidP="00E45386">
            <w:pPr>
              <w:keepNext/>
              <w:rPr>
                <w:rFonts w:ascii="Arial" w:hAnsi="Arial" w:cs="Arial"/>
                <w:sz w:val="18"/>
                <w:szCs w:val="18"/>
                <w:lang w:eastAsia="ja-JP"/>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E076BE2" w14:textId="77777777" w:rsidR="00B20D02" w:rsidRDefault="00B20D02" w:rsidP="00E45386">
            <w:pPr>
              <w:keepNext/>
              <w:jc w:val="center"/>
              <w:rPr>
                <w:rFonts w:ascii="Arial" w:hAnsi="Arial" w:cs="Arial"/>
                <w:sz w:val="18"/>
                <w:szCs w:val="18"/>
                <w:lang w:eastAsia="ja-JP"/>
              </w:rPr>
            </w:pPr>
            <w:r>
              <w:rPr>
                <w:rFonts w:ascii="Arial" w:hAnsi="Arial" w:cs="Arial"/>
                <w:sz w:val="18"/>
                <w:szCs w:val="18"/>
                <w:lang w:eastAsia="ja-JP"/>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2DC2A3D4" w14:textId="77777777" w:rsidR="00B20D02" w:rsidRDefault="00B20D02" w:rsidP="00E45386">
            <w:pPr>
              <w:keepNext/>
              <w:jc w:val="center"/>
              <w:rPr>
                <w:rFonts w:ascii="Arial" w:hAnsi="Arial" w:cs="Arial"/>
                <w:sz w:val="18"/>
                <w:szCs w:val="18"/>
                <w:lang w:eastAsia="ja-JP"/>
              </w:rPr>
            </w:pPr>
          </w:p>
        </w:tc>
      </w:tr>
      <w:tr w:rsidR="00B20D02" w14:paraId="19E667EC" w14:textId="77777777" w:rsidTr="00E45386">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2E0229" w14:textId="77777777" w:rsidR="00B20D02" w:rsidRDefault="00B20D02" w:rsidP="00E45386">
            <w:pPr>
              <w:keepNext/>
              <w:rPr>
                <w:rFonts w:ascii="Arial" w:hAnsi="Arial" w:cs="Arial"/>
                <w:sz w:val="18"/>
                <w:szCs w:val="18"/>
                <w:lang w:eastAsia="zh-CN"/>
              </w:rPr>
            </w:pPr>
            <w:r>
              <w:rPr>
                <w:rFonts w:ascii="Arial" w:hAnsi="Arial" w:cs="Arial"/>
                <w:sz w:val="18"/>
                <w:szCs w:val="18"/>
                <w:lang w:eastAsia="zh-CN"/>
              </w:rPr>
              <w:t>Available Active Users Capacity Value</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B15C314" w14:textId="77777777" w:rsidR="00B20D02" w:rsidRDefault="00B20D02" w:rsidP="00E45386">
            <w:pPr>
              <w:keepNext/>
              <w:rPr>
                <w:rFonts w:ascii="Arial" w:hAnsi="Arial" w:cs="Arial"/>
                <w:sz w:val="18"/>
                <w:szCs w:val="18"/>
                <w:lang w:val="fr-FR" w:eastAsia="ja-JP"/>
              </w:rPr>
            </w:pPr>
            <w:r>
              <w:rPr>
                <w:rFonts w:ascii="Arial" w:hAnsi="Arial" w:cs="Arial"/>
                <w:sz w:val="18"/>
                <w:szCs w:val="18"/>
                <w:lang w:eastAsia="ja-JP"/>
              </w:rPr>
              <w:t>M</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2CE98420" w14:textId="77777777" w:rsidR="00B20D02" w:rsidRDefault="00B20D02" w:rsidP="00E45386">
            <w:pPr>
              <w:keepNext/>
              <w:rPr>
                <w:rFonts w:ascii="Arial" w:hAnsi="Arial" w:cs="Arial"/>
                <w:sz w:val="18"/>
                <w:szCs w:val="18"/>
                <w:lang w:eastAsia="ja-JP"/>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57E7966" w14:textId="77777777" w:rsidR="00B20D02" w:rsidRDefault="00B20D02" w:rsidP="00E45386">
            <w:pPr>
              <w:keepNext/>
              <w:rPr>
                <w:rFonts w:ascii="Arial" w:hAnsi="Arial" w:cs="Arial"/>
                <w:sz w:val="18"/>
                <w:szCs w:val="18"/>
                <w:lang w:eastAsia="zh-CN"/>
              </w:rPr>
            </w:pPr>
            <w:r>
              <w:rPr>
                <w:rFonts w:ascii="Arial" w:hAnsi="Arial" w:cs="Arial"/>
                <w:sz w:val="18"/>
                <w:szCs w:val="18"/>
                <w:lang w:eastAsia="ja-JP"/>
              </w:rPr>
              <w:t>INTEGER (0..100,...)</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14:paraId="3003F341" w14:textId="77777777" w:rsidR="00B20D02" w:rsidRDefault="00B20D02" w:rsidP="00E45386">
            <w:pPr>
              <w:rPr>
                <w:rFonts w:ascii="Arial" w:hAnsi="Arial" w:cs="Arial"/>
                <w:sz w:val="18"/>
                <w:szCs w:val="18"/>
                <w:lang w:eastAsia="zh-CN"/>
              </w:rPr>
            </w:pPr>
            <w:r>
              <w:rPr>
                <w:rFonts w:ascii="Arial" w:hAnsi="Arial" w:cs="Arial"/>
                <w:sz w:val="18"/>
                <w:szCs w:val="18"/>
                <w:lang w:eastAsia="ja-JP"/>
              </w:rPr>
              <w:t>Value 0 shall indicate no available capacity, and 100 shall indicate maximum available capacity with respect to the whole cell. Capacity Value should be measured on a linear scale.</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2297DD1B" w14:textId="77777777" w:rsidR="00B20D02" w:rsidRDefault="00B20D02" w:rsidP="00E45386">
            <w:pPr>
              <w:keepNext/>
              <w:jc w:val="center"/>
              <w:rPr>
                <w:rFonts w:ascii="Arial" w:hAnsi="Arial" w:cs="Arial"/>
                <w:sz w:val="18"/>
                <w:szCs w:val="18"/>
                <w:lang w:eastAsia="ja-JP"/>
              </w:rPr>
            </w:pPr>
            <w:r>
              <w:rPr>
                <w:rFonts w:ascii="Arial" w:hAnsi="Arial" w:cs="Arial"/>
                <w:sz w:val="18"/>
                <w:szCs w:val="18"/>
                <w:lang w:eastAsia="ja-JP"/>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370A1C24" w14:textId="77777777" w:rsidR="00B20D02" w:rsidRDefault="00B20D02" w:rsidP="00E45386">
            <w:pPr>
              <w:keepNext/>
              <w:jc w:val="center"/>
              <w:rPr>
                <w:rFonts w:ascii="Arial" w:hAnsi="Arial" w:cs="Arial"/>
                <w:sz w:val="18"/>
                <w:szCs w:val="18"/>
                <w:lang w:val="fr-FR" w:eastAsia="ja-JP"/>
              </w:rPr>
            </w:pPr>
          </w:p>
        </w:tc>
      </w:tr>
    </w:tbl>
    <w:p w14:paraId="372D9038" w14:textId="77777777" w:rsidR="00B20D02" w:rsidRDefault="00B20D02" w:rsidP="00B20D02">
      <w:pPr>
        <w:pStyle w:val="00BodyText"/>
        <w:spacing w:after="0"/>
        <w:rPr>
          <w:rFonts w:ascii="Times New Roman" w:hAnsi="Times New Roman"/>
          <w:sz w:val="20"/>
          <w:lang w:val="en-GB"/>
        </w:rPr>
      </w:pPr>
    </w:p>
    <w:p w14:paraId="6A0272C2" w14:textId="77777777" w:rsidR="00B20D02" w:rsidRDefault="00B20D02" w:rsidP="00B20D02">
      <w:pPr>
        <w:pStyle w:val="00BodyText"/>
        <w:spacing w:after="0"/>
        <w:rPr>
          <w:rFonts w:ascii="Times New Roman" w:hAnsi="Times New Roman"/>
          <w:sz w:val="20"/>
          <w:lang w:val="en-GB"/>
        </w:rPr>
      </w:pPr>
    </w:p>
    <w:p w14:paraId="7AF96213" w14:textId="0CC1B125" w:rsidR="00B20D02" w:rsidRPr="00EF1B20" w:rsidRDefault="00B20D02" w:rsidP="00B20D02">
      <w:pPr>
        <w:pStyle w:val="00BodyText"/>
        <w:spacing w:after="0"/>
        <w:rPr>
          <w:rFonts w:ascii="Times New Roman" w:hAnsi="Times New Roman"/>
          <w:b/>
          <w:bCs/>
          <w:sz w:val="20"/>
          <w:lang w:val="en-GB"/>
        </w:rPr>
      </w:pPr>
      <w:r w:rsidRPr="00EF1B20">
        <w:rPr>
          <w:rFonts w:ascii="Times New Roman" w:hAnsi="Times New Roman"/>
          <w:b/>
          <w:bCs/>
          <w:sz w:val="20"/>
          <w:lang w:val="en-GB"/>
        </w:rPr>
        <w:t>Proposal</w:t>
      </w:r>
      <w:r>
        <w:rPr>
          <w:rFonts w:ascii="Times New Roman" w:hAnsi="Times New Roman"/>
          <w:b/>
          <w:bCs/>
          <w:sz w:val="20"/>
          <w:lang w:val="en-GB"/>
        </w:rPr>
        <w:t xml:space="preserve"> </w:t>
      </w:r>
      <w:r w:rsidR="0011686B">
        <w:rPr>
          <w:rFonts w:ascii="Times New Roman" w:hAnsi="Times New Roman"/>
          <w:b/>
          <w:bCs/>
          <w:sz w:val="20"/>
          <w:lang w:val="en-GB"/>
        </w:rPr>
        <w:t>6</w:t>
      </w:r>
      <w:r w:rsidRPr="00EF1B20">
        <w:rPr>
          <w:rFonts w:ascii="Times New Roman" w:hAnsi="Times New Roman"/>
          <w:b/>
          <w:bCs/>
          <w:sz w:val="20"/>
          <w:lang w:val="en-GB"/>
        </w:rPr>
        <w:t xml:space="preserve">: </w:t>
      </w:r>
      <w:r>
        <w:rPr>
          <w:rFonts w:ascii="Times New Roman" w:hAnsi="Times New Roman"/>
          <w:b/>
          <w:bCs/>
          <w:sz w:val="20"/>
          <w:lang w:val="en-GB"/>
        </w:rPr>
        <w:t xml:space="preserve">For </w:t>
      </w:r>
      <w:r w:rsidRPr="00B20D02">
        <w:rPr>
          <w:rFonts w:ascii="Times New Roman" w:hAnsi="Times New Roman"/>
          <w:b/>
          <w:bCs/>
          <w:sz w:val="20"/>
          <w:lang w:val="en-GB"/>
        </w:rPr>
        <w:t>Number of Active UEs</w:t>
      </w:r>
      <w:r>
        <w:rPr>
          <w:rFonts w:ascii="Times New Roman" w:hAnsi="Times New Roman"/>
          <w:b/>
          <w:bCs/>
          <w:sz w:val="20"/>
          <w:lang w:val="en-GB"/>
        </w:rPr>
        <w:t>,</w:t>
      </w:r>
      <w:r w:rsidRPr="00B20D02">
        <w:rPr>
          <w:rFonts w:ascii="Times New Roman" w:hAnsi="Times New Roman"/>
          <w:b/>
          <w:bCs/>
          <w:sz w:val="20"/>
          <w:lang w:val="en-GB"/>
        </w:rPr>
        <w:t xml:space="preserve"> </w:t>
      </w:r>
      <w:r w:rsidRPr="00EF1B20">
        <w:rPr>
          <w:rFonts w:ascii="Times New Roman" w:hAnsi="Times New Roman"/>
          <w:b/>
          <w:bCs/>
          <w:sz w:val="20"/>
          <w:lang w:val="en-GB"/>
        </w:rPr>
        <w:t xml:space="preserve">RAN3 </w:t>
      </w:r>
      <w:r>
        <w:rPr>
          <w:rFonts w:ascii="Times New Roman" w:hAnsi="Times New Roman"/>
          <w:b/>
          <w:bCs/>
          <w:sz w:val="20"/>
          <w:lang w:val="en-GB"/>
        </w:rPr>
        <w:t>to choose "</w:t>
      </w:r>
      <w:r w:rsidRPr="00B20D02">
        <w:rPr>
          <w:rFonts w:ascii="Times New Roman" w:hAnsi="Times New Roman"/>
          <w:b/>
          <w:bCs/>
          <w:sz w:val="20"/>
          <w:lang w:val="en-GB"/>
        </w:rPr>
        <w:t xml:space="preserve">Option 1: </w:t>
      </w:r>
      <w:proofErr w:type="spellStart"/>
      <w:r w:rsidRPr="00B20D02">
        <w:rPr>
          <w:rFonts w:ascii="Times New Roman" w:hAnsi="Times New Roman"/>
          <w:b/>
          <w:bCs/>
          <w:sz w:val="20"/>
          <w:lang w:val="en-GB"/>
        </w:rPr>
        <w:t>Xn</w:t>
      </w:r>
      <w:proofErr w:type="spellEnd"/>
      <w:r w:rsidRPr="00B20D02">
        <w:rPr>
          <w:rFonts w:ascii="Times New Roman" w:hAnsi="Times New Roman"/>
          <w:b/>
          <w:bCs/>
          <w:sz w:val="20"/>
          <w:lang w:val="en-GB"/>
        </w:rPr>
        <w:t xml:space="preserve"> only</w:t>
      </w:r>
      <w:r>
        <w:rPr>
          <w:rFonts w:ascii="Times New Roman" w:hAnsi="Times New Roman"/>
          <w:b/>
          <w:bCs/>
          <w:sz w:val="20"/>
          <w:lang w:val="en-GB"/>
        </w:rPr>
        <w:t>" based on above text proposal</w:t>
      </w:r>
      <w:r w:rsidRPr="00EF1B20">
        <w:rPr>
          <w:rFonts w:ascii="Times New Roman" w:hAnsi="Times New Roman"/>
          <w:b/>
          <w:bCs/>
          <w:sz w:val="20"/>
          <w:lang w:val="en-GB"/>
        </w:rPr>
        <w:t>.</w:t>
      </w:r>
    </w:p>
    <w:p w14:paraId="6B9F8CF8" w14:textId="77777777" w:rsidR="00B20D02" w:rsidRDefault="00B20D02" w:rsidP="00B03CB3">
      <w:pPr>
        <w:pStyle w:val="00BodyText"/>
        <w:spacing w:after="0"/>
        <w:rPr>
          <w:rFonts w:ascii="Times New Roman" w:hAnsi="Times New Roman"/>
          <w:sz w:val="20"/>
          <w:lang w:val="en-GB"/>
        </w:rPr>
      </w:pPr>
    </w:p>
    <w:p w14:paraId="30D73BA8" w14:textId="77777777" w:rsidR="00DA0143" w:rsidRDefault="00DA0143" w:rsidP="00B03CB3">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t>3</w:t>
      </w:r>
      <w:r w:rsidR="00CD4C7B" w:rsidRPr="006E13D1">
        <w:tab/>
      </w:r>
      <w:r>
        <w:t>Conclusion</w:t>
      </w:r>
    </w:p>
    <w:p w14:paraId="6093981F" w14:textId="680692FF" w:rsidR="00CD4C7B" w:rsidRDefault="000D796C" w:rsidP="00CD4C7B">
      <w:r>
        <w:t>We have made the following observation and proposals:</w:t>
      </w:r>
    </w:p>
    <w:p w14:paraId="20623963" w14:textId="77777777" w:rsidR="00327C1E" w:rsidRDefault="00327C1E" w:rsidP="00327C1E">
      <w:pPr>
        <w:pStyle w:val="00BodyText"/>
        <w:spacing w:after="0"/>
        <w:rPr>
          <w:rFonts w:ascii="Times New Roman" w:hAnsi="Times New Roman"/>
          <w:b/>
          <w:bCs/>
          <w:sz w:val="20"/>
          <w:lang w:val="en-GB"/>
        </w:rPr>
      </w:pPr>
      <w:r>
        <w:rPr>
          <w:rFonts w:ascii="Times New Roman" w:hAnsi="Times New Roman"/>
          <w:b/>
          <w:bCs/>
          <w:sz w:val="20"/>
          <w:lang w:val="en-GB"/>
        </w:rPr>
        <w:t>Observation: It is not appropriate to switch back and forth the actual meaning (backhaul vs. fronthaul) of the TNL report per cell over X2/</w:t>
      </w:r>
      <w:proofErr w:type="spellStart"/>
      <w:r>
        <w:rPr>
          <w:rFonts w:ascii="Times New Roman" w:hAnsi="Times New Roman"/>
          <w:b/>
          <w:bCs/>
          <w:sz w:val="20"/>
          <w:lang w:val="en-GB"/>
        </w:rPr>
        <w:t>Xn</w:t>
      </w:r>
      <w:proofErr w:type="spellEnd"/>
      <w:r>
        <w:rPr>
          <w:rFonts w:ascii="Times New Roman" w:hAnsi="Times New Roman"/>
          <w:b/>
          <w:bCs/>
          <w:sz w:val="20"/>
          <w:lang w:val="en-GB"/>
        </w:rPr>
        <w:t>.</w:t>
      </w:r>
    </w:p>
    <w:p w14:paraId="7DFF8F5E" w14:textId="77777777" w:rsidR="00327C1E" w:rsidRDefault="00327C1E" w:rsidP="00327C1E">
      <w:pPr>
        <w:rPr>
          <w:b/>
          <w:iCs/>
        </w:rPr>
      </w:pPr>
      <w:r>
        <w:rPr>
          <w:b/>
          <w:iCs/>
        </w:rPr>
        <w:t>Proposal 1: Introduce TNL Capacity Indicator per node over X2/</w:t>
      </w:r>
      <w:proofErr w:type="spellStart"/>
      <w:r>
        <w:rPr>
          <w:b/>
          <w:iCs/>
        </w:rPr>
        <w:t>Xn</w:t>
      </w:r>
      <w:proofErr w:type="spellEnd"/>
      <w:r>
        <w:rPr>
          <w:b/>
          <w:iCs/>
        </w:rPr>
        <w:t>.</w:t>
      </w:r>
    </w:p>
    <w:p w14:paraId="6A5A56B5" w14:textId="77777777" w:rsidR="00327C1E" w:rsidRDefault="00327C1E" w:rsidP="00327C1E">
      <w:r>
        <w:rPr>
          <w:b/>
          <w:iCs/>
        </w:rPr>
        <w:lastRenderedPageBreak/>
        <w:t>Proposal 2: The gNB-CU may report only the TNL Available Capacity corresponding to cells that are relevant for an external entity based on implementation to minimize unnecessary reports to the neighbour nodes (e.g., via utilizing the ANR Table information at gNB-CU).</w:t>
      </w:r>
      <w:r>
        <w:t xml:space="preserve"> </w:t>
      </w:r>
    </w:p>
    <w:p w14:paraId="73E9E697" w14:textId="77777777" w:rsidR="00327C1E" w:rsidRDefault="00327C1E" w:rsidP="00327C1E">
      <w:pPr>
        <w:pStyle w:val="00BodyText"/>
        <w:spacing w:after="0"/>
        <w:rPr>
          <w:rFonts w:ascii="Times New Roman" w:hAnsi="Times New Roman"/>
          <w:b/>
          <w:bCs/>
          <w:sz w:val="20"/>
          <w:lang w:val="en-GB"/>
        </w:rPr>
      </w:pPr>
      <w:r>
        <w:rPr>
          <w:rFonts w:ascii="Times New Roman" w:hAnsi="Times New Roman"/>
          <w:b/>
          <w:bCs/>
          <w:sz w:val="20"/>
          <w:lang w:val="en-GB"/>
        </w:rPr>
        <w:t>Proposal 3: Confirm reporting per slice in the E1AP CR (remove FFSs).</w:t>
      </w:r>
    </w:p>
    <w:p w14:paraId="7912EDB2" w14:textId="77777777" w:rsidR="00327C1E" w:rsidRDefault="00327C1E" w:rsidP="00327C1E">
      <w:pPr>
        <w:pStyle w:val="00BodyText"/>
        <w:spacing w:after="0"/>
        <w:rPr>
          <w:rFonts w:ascii="Times New Roman" w:hAnsi="Times New Roman"/>
          <w:b/>
          <w:bCs/>
          <w:sz w:val="20"/>
          <w:lang w:val="en-GB"/>
        </w:rPr>
      </w:pPr>
      <w:r>
        <w:rPr>
          <w:rFonts w:ascii="Times New Roman" w:hAnsi="Times New Roman"/>
          <w:b/>
          <w:bCs/>
          <w:sz w:val="20"/>
          <w:lang w:val="en-GB"/>
        </w:rPr>
        <w:t>Proposal 4: Report TNL load per slice on F1.</w:t>
      </w:r>
    </w:p>
    <w:p w14:paraId="38CBFD7A" w14:textId="77777777" w:rsidR="00327C1E" w:rsidRDefault="00327C1E" w:rsidP="00327C1E">
      <w:pPr>
        <w:pStyle w:val="00BodyText"/>
        <w:spacing w:after="0"/>
        <w:rPr>
          <w:rFonts w:ascii="Times New Roman" w:hAnsi="Times New Roman"/>
          <w:b/>
          <w:bCs/>
          <w:sz w:val="20"/>
          <w:lang w:val="en-GB"/>
        </w:rPr>
      </w:pPr>
      <w:r>
        <w:rPr>
          <w:rFonts w:ascii="Times New Roman" w:hAnsi="Times New Roman"/>
          <w:b/>
          <w:bCs/>
          <w:sz w:val="20"/>
          <w:lang w:val="en-GB"/>
        </w:rPr>
        <w:t>Proposal 5: Report Radio Resource Status per slice on F1.</w:t>
      </w:r>
    </w:p>
    <w:p w14:paraId="00A2EA75" w14:textId="77777777" w:rsidR="00327C1E" w:rsidRDefault="00327C1E" w:rsidP="00327C1E">
      <w:pPr>
        <w:pStyle w:val="00BodyText"/>
        <w:spacing w:after="0"/>
        <w:rPr>
          <w:rFonts w:ascii="Times New Roman" w:hAnsi="Times New Roman"/>
          <w:b/>
          <w:bCs/>
          <w:sz w:val="20"/>
          <w:lang w:val="en-GB"/>
        </w:rPr>
      </w:pPr>
      <w:r>
        <w:rPr>
          <w:rFonts w:ascii="Times New Roman" w:hAnsi="Times New Roman"/>
          <w:b/>
          <w:bCs/>
          <w:sz w:val="20"/>
          <w:lang w:val="en-GB"/>
        </w:rPr>
        <w:t xml:space="preserve">Proposal 6: For Number of Active UEs, RAN3 to choose "Option 1: </w:t>
      </w:r>
      <w:proofErr w:type="spellStart"/>
      <w:r>
        <w:rPr>
          <w:rFonts w:ascii="Times New Roman" w:hAnsi="Times New Roman"/>
          <w:b/>
          <w:bCs/>
          <w:sz w:val="20"/>
          <w:lang w:val="en-GB"/>
        </w:rPr>
        <w:t>Xn</w:t>
      </w:r>
      <w:proofErr w:type="spellEnd"/>
      <w:r>
        <w:rPr>
          <w:rFonts w:ascii="Times New Roman" w:hAnsi="Times New Roman"/>
          <w:b/>
          <w:bCs/>
          <w:sz w:val="20"/>
          <w:lang w:val="en-GB"/>
        </w:rPr>
        <w:t xml:space="preserve"> only" based on above text proposal.</w:t>
      </w:r>
    </w:p>
    <w:p w14:paraId="5F423AC5" w14:textId="77777777" w:rsidR="000D796C" w:rsidRPr="006E13D1" w:rsidRDefault="000D796C" w:rsidP="00CD4C7B"/>
    <w:p w14:paraId="193FD945" w14:textId="77777777" w:rsidR="00CD4C7B" w:rsidRPr="006E13D1" w:rsidRDefault="00CD4C7B" w:rsidP="00CD4C7B">
      <w:pPr>
        <w:pStyle w:val="Heading1"/>
      </w:pPr>
      <w:r w:rsidRPr="006E13D1">
        <w:t>References</w:t>
      </w:r>
    </w:p>
    <w:p w14:paraId="3EDC206E" w14:textId="1B5C302C" w:rsidR="00CD4C7B" w:rsidRPr="006E13D1" w:rsidRDefault="00AF78D5" w:rsidP="00606DA9">
      <w:pPr>
        <w:overflowPunct w:val="0"/>
        <w:autoSpaceDE w:val="0"/>
        <w:autoSpaceDN w:val="0"/>
        <w:adjustRightInd w:val="0"/>
        <w:ind w:left="567" w:hanging="567"/>
        <w:textAlignment w:val="baseline"/>
      </w:pPr>
      <w:bookmarkStart w:id="5" w:name="_Ref75086397"/>
      <w:r>
        <w:t>[</w:t>
      </w:r>
      <w:r w:rsidR="00112FAE">
        <w:t>1</w:t>
      </w:r>
      <w:r>
        <w:t>]</w:t>
      </w:r>
      <w:r>
        <w:tab/>
      </w:r>
      <w:r w:rsidR="00E90ABE">
        <w:t>R3-</w:t>
      </w:r>
      <w:r w:rsidR="00540B31">
        <w:t>20</w:t>
      </w:r>
      <w:r w:rsidR="00112FAE">
        <w:t>2840</w:t>
      </w:r>
      <w:r w:rsidR="00CD4C7B" w:rsidRPr="006E13D1">
        <w:t xml:space="preserve">, </w:t>
      </w:r>
      <w:r w:rsidR="00112FAE" w:rsidRPr="00112FAE">
        <w:t>Summary of discussions on Mobility Load Balancing - second phase</w:t>
      </w:r>
      <w:bookmarkEnd w:id="5"/>
    </w:p>
    <w:p w14:paraId="0BA2BD6A" w14:textId="0892762F" w:rsidR="00080512" w:rsidRDefault="006C5585" w:rsidP="00F97C9F">
      <w:pPr>
        <w:overflowPunct w:val="0"/>
        <w:autoSpaceDE w:val="0"/>
        <w:autoSpaceDN w:val="0"/>
        <w:adjustRightInd w:val="0"/>
        <w:ind w:left="567" w:hanging="567"/>
        <w:textAlignment w:val="baseline"/>
      </w:pPr>
      <w:r>
        <w:t>[2]</w:t>
      </w:r>
      <w:r>
        <w:tab/>
        <w:t>R3-201832</w:t>
      </w:r>
      <w:r w:rsidRPr="006E13D1">
        <w:t xml:space="preserve">, </w:t>
      </w:r>
      <w:r w:rsidRPr="006C5585">
        <w:t>Load reporting metric per slice for improved interoperability</w:t>
      </w:r>
      <w:r>
        <w:t xml:space="preserve">, </w:t>
      </w:r>
      <w:r w:rsidRPr="006C5585">
        <w:t>Nokia, Nokia Shanghai Bell</w:t>
      </w:r>
    </w:p>
    <w:p w14:paraId="75CCAB75" w14:textId="77777777" w:rsidR="00F97C9F" w:rsidRPr="00CD4C7B" w:rsidRDefault="00F97C9F" w:rsidP="00F97C9F">
      <w:pPr>
        <w:overflowPunct w:val="0"/>
        <w:autoSpaceDE w:val="0"/>
        <w:autoSpaceDN w:val="0"/>
        <w:adjustRightInd w:val="0"/>
        <w:ind w:left="567" w:hanging="567"/>
        <w:textAlignment w:val="baseline"/>
      </w:pPr>
    </w:p>
    <w:sectPr w:rsidR="00F97C9F"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26B44" w14:textId="77777777" w:rsidR="00194A60" w:rsidRDefault="00194A60">
      <w:r>
        <w:separator/>
      </w:r>
    </w:p>
  </w:endnote>
  <w:endnote w:type="continuationSeparator" w:id="0">
    <w:p w14:paraId="6AC10073" w14:textId="77777777" w:rsidR="00194A60" w:rsidRDefault="00194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56B9AC" w14:textId="77777777" w:rsidR="00194A60" w:rsidRDefault="00194A60">
      <w:r>
        <w:separator/>
      </w:r>
    </w:p>
  </w:footnote>
  <w:footnote w:type="continuationSeparator" w:id="0">
    <w:p w14:paraId="48694991" w14:textId="77777777" w:rsidR="00194A60" w:rsidRDefault="00194A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8960BC"/>
    <w:multiLevelType w:val="hybridMultilevel"/>
    <w:tmpl w:val="9AB227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63A5155"/>
    <w:multiLevelType w:val="hybridMultilevel"/>
    <w:tmpl w:val="C7EE909C"/>
    <w:lvl w:ilvl="0" w:tplc="2E4454E4">
      <w:start w:val="1"/>
      <w:numFmt w:val="bullet"/>
      <w:lvlText w:val="-"/>
      <w:lvlJc w:val="left"/>
      <w:pPr>
        <w:tabs>
          <w:tab w:val="num" w:pos="720"/>
        </w:tabs>
        <w:ind w:left="720" w:hanging="360"/>
      </w:pPr>
      <w:rPr>
        <w:rFonts w:ascii="Lucida Grande" w:hAnsi="Lucida Grande" w:hint="default"/>
      </w:rPr>
    </w:lvl>
    <w:lvl w:ilvl="1" w:tplc="3C9CC05E">
      <w:start w:val="1"/>
      <w:numFmt w:val="bullet"/>
      <w:lvlText w:val="-"/>
      <w:lvlJc w:val="left"/>
      <w:pPr>
        <w:tabs>
          <w:tab w:val="num" w:pos="1440"/>
        </w:tabs>
        <w:ind w:left="1440" w:hanging="360"/>
      </w:pPr>
      <w:rPr>
        <w:rFonts w:ascii="Lucida Grande" w:hAnsi="Lucida Grande" w:hint="default"/>
      </w:rPr>
    </w:lvl>
    <w:lvl w:ilvl="2" w:tplc="489E5E6C" w:tentative="1">
      <w:start w:val="1"/>
      <w:numFmt w:val="bullet"/>
      <w:lvlText w:val="-"/>
      <w:lvlJc w:val="left"/>
      <w:pPr>
        <w:tabs>
          <w:tab w:val="num" w:pos="2160"/>
        </w:tabs>
        <w:ind w:left="2160" w:hanging="360"/>
      </w:pPr>
      <w:rPr>
        <w:rFonts w:ascii="Lucida Grande" w:hAnsi="Lucida Grande" w:hint="default"/>
      </w:rPr>
    </w:lvl>
    <w:lvl w:ilvl="3" w:tplc="CD0CE86A" w:tentative="1">
      <w:start w:val="1"/>
      <w:numFmt w:val="bullet"/>
      <w:lvlText w:val="-"/>
      <w:lvlJc w:val="left"/>
      <w:pPr>
        <w:tabs>
          <w:tab w:val="num" w:pos="2880"/>
        </w:tabs>
        <w:ind w:left="2880" w:hanging="360"/>
      </w:pPr>
      <w:rPr>
        <w:rFonts w:ascii="Lucida Grande" w:hAnsi="Lucida Grande" w:hint="default"/>
      </w:rPr>
    </w:lvl>
    <w:lvl w:ilvl="4" w:tplc="CF1859CA" w:tentative="1">
      <w:start w:val="1"/>
      <w:numFmt w:val="bullet"/>
      <w:lvlText w:val="-"/>
      <w:lvlJc w:val="left"/>
      <w:pPr>
        <w:tabs>
          <w:tab w:val="num" w:pos="3600"/>
        </w:tabs>
        <w:ind w:left="3600" w:hanging="360"/>
      </w:pPr>
      <w:rPr>
        <w:rFonts w:ascii="Lucida Grande" w:hAnsi="Lucida Grande" w:hint="default"/>
      </w:rPr>
    </w:lvl>
    <w:lvl w:ilvl="5" w:tplc="1BE8FFC2" w:tentative="1">
      <w:start w:val="1"/>
      <w:numFmt w:val="bullet"/>
      <w:lvlText w:val="-"/>
      <w:lvlJc w:val="left"/>
      <w:pPr>
        <w:tabs>
          <w:tab w:val="num" w:pos="4320"/>
        </w:tabs>
        <w:ind w:left="4320" w:hanging="360"/>
      </w:pPr>
      <w:rPr>
        <w:rFonts w:ascii="Lucida Grande" w:hAnsi="Lucida Grande" w:hint="default"/>
      </w:rPr>
    </w:lvl>
    <w:lvl w:ilvl="6" w:tplc="724662FC" w:tentative="1">
      <w:start w:val="1"/>
      <w:numFmt w:val="bullet"/>
      <w:lvlText w:val="-"/>
      <w:lvlJc w:val="left"/>
      <w:pPr>
        <w:tabs>
          <w:tab w:val="num" w:pos="5040"/>
        </w:tabs>
        <w:ind w:left="5040" w:hanging="360"/>
      </w:pPr>
      <w:rPr>
        <w:rFonts w:ascii="Lucida Grande" w:hAnsi="Lucida Grande" w:hint="default"/>
      </w:rPr>
    </w:lvl>
    <w:lvl w:ilvl="7" w:tplc="E370F9B2" w:tentative="1">
      <w:start w:val="1"/>
      <w:numFmt w:val="bullet"/>
      <w:lvlText w:val="-"/>
      <w:lvlJc w:val="left"/>
      <w:pPr>
        <w:tabs>
          <w:tab w:val="num" w:pos="5760"/>
        </w:tabs>
        <w:ind w:left="5760" w:hanging="360"/>
      </w:pPr>
      <w:rPr>
        <w:rFonts w:ascii="Lucida Grande" w:hAnsi="Lucida Grande" w:hint="default"/>
      </w:rPr>
    </w:lvl>
    <w:lvl w:ilvl="8" w:tplc="D8AAAEC2" w:tentative="1">
      <w:start w:val="1"/>
      <w:numFmt w:val="bullet"/>
      <w:lvlText w:val="-"/>
      <w:lvlJc w:val="left"/>
      <w:pPr>
        <w:tabs>
          <w:tab w:val="num" w:pos="6480"/>
        </w:tabs>
        <w:ind w:left="6480" w:hanging="360"/>
      </w:pPr>
      <w:rPr>
        <w:rFonts w:ascii="Lucida Grande" w:hAnsi="Lucida Grande" w:hint="default"/>
      </w:rPr>
    </w:lvl>
  </w:abstractNum>
  <w:abstractNum w:abstractNumId="5" w15:restartNumberingAfterBreak="0">
    <w:nsid w:val="5441767F"/>
    <w:multiLevelType w:val="hybridMultilevel"/>
    <w:tmpl w:val="5C9662CA"/>
    <w:lvl w:ilvl="0" w:tplc="04090001">
      <w:start w:val="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20C47"/>
    <w:rsid w:val="00033397"/>
    <w:rsid w:val="00033AEF"/>
    <w:rsid w:val="000342C7"/>
    <w:rsid w:val="00040095"/>
    <w:rsid w:val="0005563E"/>
    <w:rsid w:val="00074B55"/>
    <w:rsid w:val="00080512"/>
    <w:rsid w:val="00083F0D"/>
    <w:rsid w:val="000B7BCF"/>
    <w:rsid w:val="000C556D"/>
    <w:rsid w:val="000D04C7"/>
    <w:rsid w:val="000D376D"/>
    <w:rsid w:val="000D58AB"/>
    <w:rsid w:val="000D796C"/>
    <w:rsid w:val="001075B7"/>
    <w:rsid w:val="00112FAE"/>
    <w:rsid w:val="0011686B"/>
    <w:rsid w:val="001370F2"/>
    <w:rsid w:val="001549DD"/>
    <w:rsid w:val="00185151"/>
    <w:rsid w:val="00194A60"/>
    <w:rsid w:val="00194CD0"/>
    <w:rsid w:val="001B08B3"/>
    <w:rsid w:val="001C05CC"/>
    <w:rsid w:val="001C4281"/>
    <w:rsid w:val="001C5848"/>
    <w:rsid w:val="001D0D3F"/>
    <w:rsid w:val="001F168B"/>
    <w:rsid w:val="001F70B7"/>
    <w:rsid w:val="0021406F"/>
    <w:rsid w:val="0022606D"/>
    <w:rsid w:val="002305DD"/>
    <w:rsid w:val="00243BC7"/>
    <w:rsid w:val="002623FC"/>
    <w:rsid w:val="002747EC"/>
    <w:rsid w:val="002855BF"/>
    <w:rsid w:val="00285CBD"/>
    <w:rsid w:val="002E1692"/>
    <w:rsid w:val="002F0D22"/>
    <w:rsid w:val="003161FE"/>
    <w:rsid w:val="003172DC"/>
    <w:rsid w:val="00326069"/>
    <w:rsid w:val="00327C1E"/>
    <w:rsid w:val="003454FC"/>
    <w:rsid w:val="0035462D"/>
    <w:rsid w:val="00363177"/>
    <w:rsid w:val="00391630"/>
    <w:rsid w:val="003B3FB3"/>
    <w:rsid w:val="003C4E37"/>
    <w:rsid w:val="003C6D82"/>
    <w:rsid w:val="003E16BE"/>
    <w:rsid w:val="003E7223"/>
    <w:rsid w:val="00401855"/>
    <w:rsid w:val="00435395"/>
    <w:rsid w:val="00456CCE"/>
    <w:rsid w:val="00464695"/>
    <w:rsid w:val="00477FF3"/>
    <w:rsid w:val="004C0C07"/>
    <w:rsid w:val="004D3578"/>
    <w:rsid w:val="004D380D"/>
    <w:rsid w:val="004D3F58"/>
    <w:rsid w:val="004D5E47"/>
    <w:rsid w:val="004E213A"/>
    <w:rsid w:val="004E21FC"/>
    <w:rsid w:val="00502FCD"/>
    <w:rsid w:val="00503171"/>
    <w:rsid w:val="005153FE"/>
    <w:rsid w:val="005240A4"/>
    <w:rsid w:val="00534DA0"/>
    <w:rsid w:val="00540B31"/>
    <w:rsid w:val="00543E6C"/>
    <w:rsid w:val="00544635"/>
    <w:rsid w:val="005533EA"/>
    <w:rsid w:val="00565087"/>
    <w:rsid w:val="0056573F"/>
    <w:rsid w:val="00565BE9"/>
    <w:rsid w:val="00571CE2"/>
    <w:rsid w:val="005A4971"/>
    <w:rsid w:val="005B1232"/>
    <w:rsid w:val="005B2EEF"/>
    <w:rsid w:val="005D4274"/>
    <w:rsid w:val="00605103"/>
    <w:rsid w:val="00605E3E"/>
    <w:rsid w:val="00606DA9"/>
    <w:rsid w:val="00611566"/>
    <w:rsid w:val="00656E1E"/>
    <w:rsid w:val="006604E4"/>
    <w:rsid w:val="006C54B5"/>
    <w:rsid w:val="006C5585"/>
    <w:rsid w:val="006D1E24"/>
    <w:rsid w:val="006D5E6A"/>
    <w:rsid w:val="006F040E"/>
    <w:rsid w:val="006F2F9E"/>
    <w:rsid w:val="006F7BE0"/>
    <w:rsid w:val="00734A5B"/>
    <w:rsid w:val="00735F2C"/>
    <w:rsid w:val="00741EC5"/>
    <w:rsid w:val="00743525"/>
    <w:rsid w:val="00744E76"/>
    <w:rsid w:val="007476DB"/>
    <w:rsid w:val="00757D40"/>
    <w:rsid w:val="00774846"/>
    <w:rsid w:val="00781F0F"/>
    <w:rsid w:val="0078727C"/>
    <w:rsid w:val="00797D4B"/>
    <w:rsid w:val="007C095F"/>
    <w:rsid w:val="007D5902"/>
    <w:rsid w:val="00802106"/>
    <w:rsid w:val="008028A4"/>
    <w:rsid w:val="00806520"/>
    <w:rsid w:val="008152FE"/>
    <w:rsid w:val="00840916"/>
    <w:rsid w:val="00847322"/>
    <w:rsid w:val="008507AC"/>
    <w:rsid w:val="00853EDD"/>
    <w:rsid w:val="008604EE"/>
    <w:rsid w:val="008768CA"/>
    <w:rsid w:val="00880559"/>
    <w:rsid w:val="0090271F"/>
    <w:rsid w:val="00903D8C"/>
    <w:rsid w:val="00942EC2"/>
    <w:rsid w:val="00954BCB"/>
    <w:rsid w:val="00960FD3"/>
    <w:rsid w:val="00961B32"/>
    <w:rsid w:val="00971683"/>
    <w:rsid w:val="00972FD7"/>
    <w:rsid w:val="00974BB0"/>
    <w:rsid w:val="009A6E4F"/>
    <w:rsid w:val="009C4D5C"/>
    <w:rsid w:val="009D0A28"/>
    <w:rsid w:val="009F3B54"/>
    <w:rsid w:val="009F7E6E"/>
    <w:rsid w:val="00A10F02"/>
    <w:rsid w:val="00A53724"/>
    <w:rsid w:val="00A56822"/>
    <w:rsid w:val="00A82346"/>
    <w:rsid w:val="00A8361A"/>
    <w:rsid w:val="00A9671C"/>
    <w:rsid w:val="00AD4BCF"/>
    <w:rsid w:val="00AF78D5"/>
    <w:rsid w:val="00B03CB3"/>
    <w:rsid w:val="00B1063A"/>
    <w:rsid w:val="00B15449"/>
    <w:rsid w:val="00B20D02"/>
    <w:rsid w:val="00B83634"/>
    <w:rsid w:val="00B9781E"/>
    <w:rsid w:val="00BF79F1"/>
    <w:rsid w:val="00C03035"/>
    <w:rsid w:val="00C33079"/>
    <w:rsid w:val="00C43B31"/>
    <w:rsid w:val="00CA3D0C"/>
    <w:rsid w:val="00CB6651"/>
    <w:rsid w:val="00CB6887"/>
    <w:rsid w:val="00CD4C7B"/>
    <w:rsid w:val="00CE2286"/>
    <w:rsid w:val="00D22038"/>
    <w:rsid w:val="00D57C8C"/>
    <w:rsid w:val="00D6638A"/>
    <w:rsid w:val="00D738D6"/>
    <w:rsid w:val="00D80795"/>
    <w:rsid w:val="00D87E00"/>
    <w:rsid w:val="00D9134D"/>
    <w:rsid w:val="00D97CD9"/>
    <w:rsid w:val="00DA0143"/>
    <w:rsid w:val="00DA7A03"/>
    <w:rsid w:val="00DB1818"/>
    <w:rsid w:val="00DC309B"/>
    <w:rsid w:val="00DC4DA2"/>
    <w:rsid w:val="00DE1406"/>
    <w:rsid w:val="00E07838"/>
    <w:rsid w:val="00E340BC"/>
    <w:rsid w:val="00E62835"/>
    <w:rsid w:val="00E77645"/>
    <w:rsid w:val="00E852FF"/>
    <w:rsid w:val="00E90ABE"/>
    <w:rsid w:val="00EA22F8"/>
    <w:rsid w:val="00EC4A25"/>
    <w:rsid w:val="00EE0A1E"/>
    <w:rsid w:val="00F025A2"/>
    <w:rsid w:val="00F17AF9"/>
    <w:rsid w:val="00F2026E"/>
    <w:rsid w:val="00F2210A"/>
    <w:rsid w:val="00F37743"/>
    <w:rsid w:val="00F54A3D"/>
    <w:rsid w:val="00F653B8"/>
    <w:rsid w:val="00F76F8F"/>
    <w:rsid w:val="00F97C9F"/>
    <w:rsid w:val="00FA1266"/>
    <w:rsid w:val="00FB2BEA"/>
    <w:rsid w:val="00FC1192"/>
    <w:rsid w:val="00FC53BF"/>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57C8C"/>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Heading2Char">
    <w:name w:val="Heading 2 Char"/>
    <w:link w:val="Heading2"/>
    <w:rsid w:val="00B03CB3"/>
    <w:rPr>
      <w:rFonts w:ascii="Arial" w:hAnsi="Arial"/>
      <w:sz w:val="32"/>
      <w:lang w:val="en-GB" w:eastAsia="en-US"/>
    </w:rPr>
  </w:style>
  <w:style w:type="paragraph" w:styleId="BalloonText">
    <w:name w:val="Balloon Text"/>
    <w:basedOn w:val="Normal"/>
    <w:link w:val="BalloonTextChar"/>
    <w:semiHidden/>
    <w:unhideWhenUsed/>
    <w:rsid w:val="00285CBD"/>
    <w:pPr>
      <w:spacing w:after="0"/>
    </w:pPr>
    <w:rPr>
      <w:rFonts w:ascii="Segoe UI" w:hAnsi="Segoe UI" w:cs="Segoe UI"/>
      <w:sz w:val="18"/>
      <w:szCs w:val="18"/>
    </w:rPr>
  </w:style>
  <w:style w:type="character" w:customStyle="1" w:styleId="BalloonTextChar">
    <w:name w:val="Balloon Text Char"/>
    <w:link w:val="BalloonText"/>
    <w:semiHidden/>
    <w:rsid w:val="00285CBD"/>
    <w:rPr>
      <w:rFonts w:ascii="Segoe UI" w:hAnsi="Segoe UI" w:cs="Segoe UI"/>
      <w:sz w:val="18"/>
      <w:szCs w:val="18"/>
      <w:lang w:val="en-GB" w:eastAsia="en-US"/>
    </w:rPr>
  </w:style>
  <w:style w:type="character" w:customStyle="1" w:styleId="Heading4Char">
    <w:name w:val="Heading 4 Char"/>
    <w:link w:val="Heading4"/>
    <w:rsid w:val="00B20D0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000996">
      <w:bodyDiv w:val="1"/>
      <w:marLeft w:val="0"/>
      <w:marRight w:val="0"/>
      <w:marTop w:val="0"/>
      <w:marBottom w:val="0"/>
      <w:divBdr>
        <w:top w:val="none" w:sz="0" w:space="0" w:color="auto"/>
        <w:left w:val="none" w:sz="0" w:space="0" w:color="auto"/>
        <w:bottom w:val="none" w:sz="0" w:space="0" w:color="auto"/>
        <w:right w:val="none" w:sz="0" w:space="0" w:color="auto"/>
      </w:divBdr>
    </w:div>
    <w:div w:id="565995256">
      <w:bodyDiv w:val="1"/>
      <w:marLeft w:val="0"/>
      <w:marRight w:val="0"/>
      <w:marTop w:val="0"/>
      <w:marBottom w:val="0"/>
      <w:divBdr>
        <w:top w:val="none" w:sz="0" w:space="0" w:color="auto"/>
        <w:left w:val="none" w:sz="0" w:space="0" w:color="auto"/>
        <w:bottom w:val="none" w:sz="0" w:space="0" w:color="auto"/>
        <w:right w:val="none" w:sz="0" w:space="0" w:color="auto"/>
      </w:divBdr>
    </w:div>
    <w:div w:id="569536900">
      <w:bodyDiv w:val="1"/>
      <w:marLeft w:val="0"/>
      <w:marRight w:val="0"/>
      <w:marTop w:val="0"/>
      <w:marBottom w:val="0"/>
      <w:divBdr>
        <w:top w:val="none" w:sz="0" w:space="0" w:color="auto"/>
        <w:left w:val="none" w:sz="0" w:space="0" w:color="auto"/>
        <w:bottom w:val="none" w:sz="0" w:space="0" w:color="auto"/>
        <w:right w:val="none" w:sz="0" w:space="0" w:color="auto"/>
      </w:divBdr>
    </w:div>
    <w:div w:id="825129658">
      <w:bodyDiv w:val="1"/>
      <w:marLeft w:val="0"/>
      <w:marRight w:val="0"/>
      <w:marTop w:val="0"/>
      <w:marBottom w:val="0"/>
      <w:divBdr>
        <w:top w:val="none" w:sz="0" w:space="0" w:color="auto"/>
        <w:left w:val="none" w:sz="0" w:space="0" w:color="auto"/>
        <w:bottom w:val="none" w:sz="0" w:space="0" w:color="auto"/>
        <w:right w:val="none" w:sz="0" w:space="0" w:color="auto"/>
      </w:divBdr>
      <w:divsChild>
        <w:div w:id="2102530579">
          <w:marLeft w:val="1397"/>
          <w:marRight w:val="0"/>
          <w:marTop w:val="0"/>
          <w:marBottom w:val="78"/>
          <w:divBdr>
            <w:top w:val="none" w:sz="0" w:space="0" w:color="auto"/>
            <w:left w:val="none" w:sz="0" w:space="0" w:color="auto"/>
            <w:bottom w:val="none" w:sz="0" w:space="0" w:color="auto"/>
            <w:right w:val="none" w:sz="0" w:space="0" w:color="auto"/>
          </w:divBdr>
        </w:div>
        <w:div w:id="1195927845">
          <w:marLeft w:val="1397"/>
          <w:marRight w:val="0"/>
          <w:marTop w:val="0"/>
          <w:marBottom w:val="78"/>
          <w:divBdr>
            <w:top w:val="none" w:sz="0" w:space="0" w:color="auto"/>
            <w:left w:val="none" w:sz="0" w:space="0" w:color="auto"/>
            <w:bottom w:val="none" w:sz="0" w:space="0" w:color="auto"/>
            <w:right w:val="none" w:sz="0" w:space="0" w:color="auto"/>
          </w:divBdr>
        </w:div>
        <w:div w:id="175923735">
          <w:marLeft w:val="1397"/>
          <w:marRight w:val="0"/>
          <w:marTop w:val="0"/>
          <w:marBottom w:val="78"/>
          <w:divBdr>
            <w:top w:val="none" w:sz="0" w:space="0" w:color="auto"/>
            <w:left w:val="none" w:sz="0" w:space="0" w:color="auto"/>
            <w:bottom w:val="none" w:sz="0" w:space="0" w:color="auto"/>
            <w:right w:val="none" w:sz="0" w:space="0" w:color="auto"/>
          </w:divBdr>
        </w:div>
      </w:divsChild>
    </w:div>
    <w:div w:id="989019393">
      <w:bodyDiv w:val="1"/>
      <w:marLeft w:val="0"/>
      <w:marRight w:val="0"/>
      <w:marTop w:val="0"/>
      <w:marBottom w:val="0"/>
      <w:divBdr>
        <w:top w:val="none" w:sz="0" w:space="0" w:color="auto"/>
        <w:left w:val="none" w:sz="0" w:space="0" w:color="auto"/>
        <w:bottom w:val="none" w:sz="0" w:space="0" w:color="auto"/>
        <w:right w:val="none" w:sz="0" w:space="0" w:color="auto"/>
      </w:divBdr>
    </w:div>
    <w:div w:id="1263220348">
      <w:bodyDiv w:val="1"/>
      <w:marLeft w:val="0"/>
      <w:marRight w:val="0"/>
      <w:marTop w:val="0"/>
      <w:marBottom w:val="0"/>
      <w:divBdr>
        <w:top w:val="none" w:sz="0" w:space="0" w:color="auto"/>
        <w:left w:val="none" w:sz="0" w:space="0" w:color="auto"/>
        <w:bottom w:val="none" w:sz="0" w:space="0" w:color="auto"/>
        <w:right w:val="none" w:sz="0" w:space="0" w:color="auto"/>
      </w:divBdr>
    </w:div>
    <w:div w:id="1326125121">
      <w:bodyDiv w:val="1"/>
      <w:marLeft w:val="0"/>
      <w:marRight w:val="0"/>
      <w:marTop w:val="0"/>
      <w:marBottom w:val="0"/>
      <w:divBdr>
        <w:top w:val="none" w:sz="0" w:space="0" w:color="auto"/>
        <w:left w:val="none" w:sz="0" w:space="0" w:color="auto"/>
        <w:bottom w:val="none" w:sz="0" w:space="0" w:color="auto"/>
        <w:right w:val="none" w:sz="0" w:space="0" w:color="auto"/>
      </w:divBdr>
    </w:div>
    <w:div w:id="1384862879">
      <w:bodyDiv w:val="1"/>
      <w:marLeft w:val="0"/>
      <w:marRight w:val="0"/>
      <w:marTop w:val="0"/>
      <w:marBottom w:val="0"/>
      <w:divBdr>
        <w:top w:val="none" w:sz="0" w:space="0" w:color="auto"/>
        <w:left w:val="none" w:sz="0" w:space="0" w:color="auto"/>
        <w:bottom w:val="none" w:sz="0" w:space="0" w:color="auto"/>
        <w:right w:val="none" w:sz="0" w:space="0" w:color="auto"/>
      </w:divBdr>
      <w:divsChild>
        <w:div w:id="1037123123">
          <w:marLeft w:val="936"/>
          <w:marRight w:val="0"/>
          <w:marTop w:val="0"/>
          <w:marBottom w:val="78"/>
          <w:divBdr>
            <w:top w:val="none" w:sz="0" w:space="0" w:color="auto"/>
            <w:left w:val="none" w:sz="0" w:space="0" w:color="auto"/>
            <w:bottom w:val="none" w:sz="0" w:space="0" w:color="auto"/>
            <w:right w:val="none" w:sz="0" w:space="0" w:color="auto"/>
          </w:divBdr>
        </w:div>
      </w:divsChild>
    </w:div>
    <w:div w:id="1422722022">
      <w:bodyDiv w:val="1"/>
      <w:marLeft w:val="0"/>
      <w:marRight w:val="0"/>
      <w:marTop w:val="0"/>
      <w:marBottom w:val="0"/>
      <w:divBdr>
        <w:top w:val="none" w:sz="0" w:space="0" w:color="auto"/>
        <w:left w:val="none" w:sz="0" w:space="0" w:color="auto"/>
        <w:bottom w:val="none" w:sz="0" w:space="0" w:color="auto"/>
        <w:right w:val="none" w:sz="0" w:space="0" w:color="auto"/>
      </w:divBdr>
      <w:divsChild>
        <w:div w:id="358167718">
          <w:marLeft w:val="936"/>
          <w:marRight w:val="0"/>
          <w:marTop w:val="0"/>
          <w:marBottom w:val="78"/>
          <w:divBdr>
            <w:top w:val="none" w:sz="0" w:space="0" w:color="auto"/>
            <w:left w:val="none" w:sz="0" w:space="0" w:color="auto"/>
            <w:bottom w:val="none" w:sz="0" w:space="0" w:color="auto"/>
            <w:right w:val="none" w:sz="0" w:space="0" w:color="auto"/>
          </w:divBdr>
        </w:div>
      </w:divsChild>
    </w:div>
    <w:div w:id="1978677301">
      <w:bodyDiv w:val="1"/>
      <w:marLeft w:val="0"/>
      <w:marRight w:val="0"/>
      <w:marTop w:val="0"/>
      <w:marBottom w:val="0"/>
      <w:divBdr>
        <w:top w:val="none" w:sz="0" w:space="0" w:color="auto"/>
        <w:left w:val="none" w:sz="0" w:space="0" w:color="auto"/>
        <w:bottom w:val="none" w:sz="0" w:space="0" w:color="auto"/>
        <w:right w:val="none" w:sz="0" w:space="0" w:color="auto"/>
      </w:divBdr>
    </w:div>
    <w:div w:id="2115054259">
      <w:bodyDiv w:val="1"/>
      <w:marLeft w:val="0"/>
      <w:marRight w:val="0"/>
      <w:marTop w:val="0"/>
      <w:marBottom w:val="0"/>
      <w:divBdr>
        <w:top w:val="none" w:sz="0" w:space="0" w:color="auto"/>
        <w:left w:val="none" w:sz="0" w:space="0" w:color="auto"/>
        <w:bottom w:val="none" w:sz="0" w:space="0" w:color="auto"/>
        <w:right w:val="none" w:sz="0" w:space="0" w:color="auto"/>
      </w:divBdr>
      <w:divsChild>
        <w:div w:id="1203403027">
          <w:marLeft w:val="936"/>
          <w:marRight w:val="0"/>
          <w:marTop w:val="0"/>
          <w:marBottom w:val="78"/>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330</TotalTime>
  <Pages>4</Pages>
  <Words>1496</Words>
  <Characters>8234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9711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Hakon Helmers</cp:lastModifiedBy>
  <cp:revision>40</cp:revision>
  <dcterms:created xsi:type="dcterms:W3CDTF">2019-06-29T13:33:00Z</dcterms:created>
  <dcterms:modified xsi:type="dcterms:W3CDTF">2020-05-21T07:23:00Z</dcterms:modified>
</cp:coreProperties>
</file>